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hint="eastAsia" w:ascii="宋体" w:hAnsi="宋体" w:eastAsia="宋体" w:cs="宋体"/>
          <w:b/>
          <w:bCs/>
          <w:color w:val="000000" w:themeColor="text1"/>
          <w:sz w:val="18"/>
          <w:szCs w:val="18"/>
          <w:lang w:eastAsia="zh-CN"/>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br w:type="textWrapping"/>
      </w:r>
    </w:p>
    <w:p>
      <w:pPr>
        <w:pStyle w:val="2"/>
        <w:snapToGrid w:val="0"/>
        <w:spacing w:after="0" w:line="360" w:lineRule="auto"/>
        <w:ind w:left="0" w:leftChars="0"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金华市金婺实业有限公司关于2022-2023年度苗木供应单位选定项目</w:t>
      </w:r>
    </w:p>
    <w:p>
      <w:pPr>
        <w:rPr>
          <w:rFonts w:hint="eastAsia" w:ascii="宋体" w:hAnsi="宋体" w:eastAsia="宋体" w:cs="宋体"/>
          <w:color w:val="000000" w:themeColor="text1"/>
          <w14:textFill>
            <w14:solidFill>
              <w14:schemeClr w14:val="tx1"/>
            </w14:solidFill>
          </w14:textFill>
        </w:rPr>
      </w:pPr>
    </w:p>
    <w:p>
      <w:pPr>
        <w:pStyle w:val="2"/>
        <w:ind w:left="680" w:firstLine="680"/>
        <w:rPr>
          <w:rFonts w:hint="eastAsia" w:ascii="宋体" w:hAnsi="宋体" w:eastAsia="宋体" w:cs="宋体"/>
          <w:color w:val="000000" w:themeColor="text1"/>
          <w14:textFill>
            <w14:solidFill>
              <w14:schemeClr w14:val="tx1"/>
            </w14:solidFill>
          </w14:textFill>
        </w:rPr>
      </w:pPr>
    </w:p>
    <w:p>
      <w:pPr>
        <w:pStyle w:val="2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beforeLines="50"/>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公开招选文件</w:t>
      </w:r>
    </w:p>
    <w:p>
      <w:pPr>
        <w:snapToGrid w:val="0"/>
        <w:spacing w:beforeLines="50" w:line="360" w:lineRule="auto"/>
        <w:rPr>
          <w:rFonts w:hint="eastAsia" w:ascii="宋体" w:hAnsi="宋体" w:eastAsia="宋体" w:cs="宋体"/>
          <w:color w:val="000000" w:themeColor="text1"/>
          <w:sz w:val="30"/>
          <w:szCs w:val="30"/>
          <w14:textFill>
            <w14:solidFill>
              <w14:schemeClr w14:val="tx1"/>
            </w14:solidFill>
          </w14:textFill>
        </w:rPr>
      </w:pPr>
    </w:p>
    <w:p>
      <w:pPr>
        <w:snapToGrid w:val="0"/>
        <w:spacing w:beforeLines="50" w:line="360" w:lineRule="auto"/>
        <w:rPr>
          <w:rFonts w:hint="eastAsia" w:ascii="宋体" w:hAnsi="宋体" w:eastAsia="宋体" w:cs="宋体"/>
          <w:color w:val="000000" w:themeColor="text1"/>
          <w:sz w:val="30"/>
          <w:szCs w:val="30"/>
          <w14:textFill>
            <w14:solidFill>
              <w14:schemeClr w14:val="tx1"/>
            </w14:solidFill>
          </w14:textFill>
        </w:rPr>
      </w:pPr>
    </w:p>
    <w:p>
      <w:pPr>
        <w:pStyle w:val="4"/>
        <w:rPr>
          <w:rFonts w:hint="eastAsia" w:ascii="宋体" w:hAnsi="宋体" w:eastAsia="宋体" w:cs="宋体"/>
          <w:color w:val="000000" w:themeColor="text1"/>
          <w:sz w:val="30"/>
          <w:szCs w:val="30"/>
          <w14:textFill>
            <w14:solidFill>
              <w14:schemeClr w14:val="tx1"/>
            </w14:solidFill>
          </w14:textFill>
        </w:rPr>
      </w:pPr>
    </w:p>
    <w:p>
      <w:pPr>
        <w:rPr>
          <w:rFonts w:hint="eastAsia" w:ascii="宋体" w:hAnsi="宋体" w:eastAsia="宋体" w:cs="宋体"/>
          <w:color w:val="000000" w:themeColor="text1"/>
          <w:sz w:val="30"/>
          <w:szCs w:val="30"/>
          <w14:textFill>
            <w14:solidFill>
              <w14:schemeClr w14:val="tx1"/>
            </w14:solidFill>
          </w14:textFill>
        </w:rPr>
      </w:pPr>
    </w:p>
    <w:p>
      <w:pPr>
        <w:pStyle w:val="4"/>
        <w:rPr>
          <w:rFonts w:hint="eastAsia" w:ascii="宋体" w:hAnsi="宋体" w:eastAsia="宋体" w:cs="宋体"/>
          <w:color w:val="000000" w:themeColor="text1"/>
          <w:sz w:val="30"/>
          <w:szCs w:val="30"/>
          <w14:textFill>
            <w14:solidFill>
              <w14:schemeClr w14:val="tx1"/>
            </w14:solidFill>
          </w14:textFill>
        </w:rPr>
      </w:pPr>
    </w:p>
    <w:p>
      <w:pPr>
        <w:rPr>
          <w:rFonts w:hint="eastAsia" w:ascii="宋体" w:hAnsi="宋体" w:eastAsia="宋体" w:cs="宋体"/>
          <w:color w:val="000000" w:themeColor="text1"/>
          <w:sz w:val="30"/>
          <w:szCs w:val="30"/>
          <w14:textFill>
            <w14:solidFill>
              <w14:schemeClr w14:val="tx1"/>
            </w14:solidFill>
          </w14:textFill>
        </w:rPr>
      </w:pPr>
    </w:p>
    <w:p>
      <w:pPr>
        <w:pStyle w:val="4"/>
        <w:rPr>
          <w:rFonts w:hint="eastAsia" w:ascii="宋体" w:hAnsi="宋体" w:eastAsia="宋体" w:cs="宋体"/>
          <w:color w:val="000000" w:themeColor="text1"/>
          <w14:textFill>
            <w14:solidFill>
              <w14:schemeClr w14:val="tx1"/>
            </w14:solidFill>
          </w14:textFill>
        </w:rPr>
      </w:pPr>
    </w:p>
    <w:p>
      <w:pPr>
        <w:snapToGrid w:val="0"/>
        <w:spacing w:beforeLines="50" w:line="360" w:lineRule="auto"/>
        <w:rPr>
          <w:rFonts w:hint="eastAsia" w:ascii="宋体" w:hAnsi="宋体" w:eastAsia="宋体" w:cs="宋体"/>
          <w:color w:val="000000" w:themeColor="text1"/>
          <w:sz w:val="30"/>
          <w:szCs w:val="30"/>
          <w14:textFill>
            <w14:solidFill>
              <w14:schemeClr w14:val="tx1"/>
            </w14:solidFill>
          </w14:textFill>
        </w:rPr>
      </w:pPr>
    </w:p>
    <w:p>
      <w:pPr>
        <w:pStyle w:val="10"/>
        <w:tabs>
          <w:tab w:val="left" w:pos="7820"/>
        </w:tabs>
        <w:snapToGrid w:val="0"/>
        <w:spacing w:before="120" w:after="120" w:line="360" w:lineRule="auto"/>
        <w:ind w:firstLine="602" w:firstLineChars="200"/>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 xml:space="preserve">项目编号： </w:t>
      </w:r>
      <w:r>
        <w:rPr>
          <w:rFonts w:hint="eastAsia" w:ascii="宋体" w:hAnsi="宋体" w:eastAsia="宋体" w:cs="宋体"/>
          <w:b/>
          <w:bCs/>
          <w:color w:val="000000" w:themeColor="text1"/>
          <w:sz w:val="30"/>
          <w:szCs w:val="30"/>
          <w:lang w:eastAsia="zh-CN"/>
          <w14:textFill>
            <w14:solidFill>
              <w14:schemeClr w14:val="tx1"/>
            </w14:solidFill>
          </w14:textFill>
        </w:rPr>
        <w:t>TY2022-FW680</w:t>
      </w:r>
      <w:r>
        <w:rPr>
          <w:rFonts w:hint="eastAsia" w:ascii="宋体" w:hAnsi="宋体" w:eastAsia="宋体" w:cs="宋体"/>
          <w:b/>
          <w:bCs/>
          <w:color w:val="000000" w:themeColor="text1"/>
          <w:sz w:val="30"/>
          <w:szCs w:val="30"/>
          <w14:textFill>
            <w14:solidFill>
              <w14:schemeClr w14:val="tx1"/>
            </w14:solidFill>
          </w14:textFill>
        </w:rPr>
        <w:t xml:space="preserve">   </w:t>
      </w:r>
    </w:p>
    <w:p>
      <w:pPr>
        <w:pStyle w:val="10"/>
        <w:snapToGrid w:val="0"/>
        <w:spacing w:before="120" w:after="120" w:line="360" w:lineRule="auto"/>
        <w:ind w:firstLine="602" w:firstLineChars="200"/>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采购单位： 金华市金婺实业有限公司</w:t>
      </w:r>
    </w:p>
    <w:p>
      <w:pPr>
        <w:pStyle w:val="10"/>
        <w:snapToGrid w:val="0"/>
        <w:spacing w:before="120" w:after="120" w:line="360" w:lineRule="auto"/>
        <w:ind w:firstLine="602" w:firstLineChars="200"/>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代理机构： 金华市天盈财务咨询有限公司</w:t>
      </w:r>
    </w:p>
    <w:p>
      <w:pPr>
        <w:snapToGrid w:val="0"/>
        <w:spacing w:beforeLines="50" w:line="360" w:lineRule="auto"/>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 xml:space="preserve">2 0 2 2 年 0 </w:t>
      </w:r>
      <w:r>
        <w:rPr>
          <w:rFonts w:hint="eastAsia" w:ascii="宋体" w:hAnsi="宋体" w:eastAsia="宋体" w:cs="宋体"/>
          <w:b/>
          <w:bCs/>
          <w:color w:val="000000" w:themeColor="text1"/>
          <w:sz w:val="30"/>
          <w:szCs w:val="30"/>
          <w:lang w:val="en-US" w:eastAsia="zh-CN"/>
          <w14:textFill>
            <w14:solidFill>
              <w14:schemeClr w14:val="tx1"/>
            </w14:solidFill>
          </w14:textFill>
        </w:rPr>
        <w:t>9</w:t>
      </w:r>
      <w:r>
        <w:rPr>
          <w:rFonts w:hint="eastAsia" w:ascii="宋体" w:hAnsi="宋体" w:eastAsia="宋体" w:cs="宋体"/>
          <w:b/>
          <w:bCs/>
          <w:color w:val="000000" w:themeColor="text1"/>
          <w:sz w:val="30"/>
          <w:szCs w:val="30"/>
          <w14:textFill>
            <w14:solidFill>
              <w14:schemeClr w14:val="tx1"/>
            </w14:solidFill>
          </w14:textFill>
        </w:rPr>
        <w:t xml:space="preserve"> 月</w:t>
      </w:r>
      <w:r>
        <w:rPr>
          <w:rFonts w:hint="eastAsia" w:ascii="宋体" w:hAnsi="宋体" w:eastAsia="宋体" w:cs="宋体"/>
          <w:b/>
          <w:bCs/>
          <w:color w:val="000000" w:themeColor="text1"/>
          <w:sz w:val="30"/>
          <w:szCs w:val="30"/>
          <w14:textFill>
            <w14:solidFill>
              <w14:schemeClr w14:val="tx1"/>
            </w14:solidFill>
          </w14:textFill>
        </w:rPr>
        <w:br w:type="page"/>
      </w:r>
    </w:p>
    <w:p>
      <w:pPr>
        <w:snapToGrid w:val="0"/>
        <w:spacing w:beforeLines="50" w:line="360" w:lineRule="auto"/>
        <w:jc w:val="center"/>
        <w:rPr>
          <w:rFonts w:hint="eastAsia" w:ascii="宋体" w:hAnsi="宋体" w:eastAsia="宋体" w:cs="宋体"/>
          <w:b/>
          <w:bCs/>
          <w:color w:val="000000" w:themeColor="text1"/>
          <w14:textFill>
            <w14:solidFill>
              <w14:schemeClr w14:val="tx1"/>
            </w14:solidFill>
          </w14:textFill>
        </w:rPr>
      </w:pPr>
    </w:p>
    <w:p>
      <w:pPr>
        <w:snapToGrid w:val="0"/>
        <w:spacing w:beforeLines="50"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目        录</w:t>
      </w:r>
      <w:bookmarkStart w:id="0" w:name="_Toc237182500"/>
    </w:p>
    <w:p>
      <w:pPr>
        <w:pStyle w:val="15"/>
        <w:keepNext w:val="0"/>
        <w:keepLines w:val="0"/>
        <w:pageBreakBefore w:val="0"/>
        <w:widowControl w:val="0"/>
        <w:tabs>
          <w:tab w:val="right" w:leader="dot" w:pos="9747"/>
        </w:tabs>
        <w:kinsoku/>
        <w:wordWrap/>
        <w:overflowPunct/>
        <w:topLinePunct w:val="0"/>
        <w:autoSpaceDE w:val="0"/>
        <w:autoSpaceDN w:val="0"/>
        <w:bidi w:val="0"/>
        <w:adjustRightInd w:val="0"/>
        <w:snapToGrid w:val="0"/>
        <w:spacing w:before="0" w:after="0" w:line="480" w:lineRule="auto"/>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sz w:val="24"/>
          <w:szCs w:val="24"/>
        </w:rPr>
        <w:instrText xml:space="preserve"> HYPERLINK \l _Toc23890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公开招选公告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_Toc23890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15"/>
        <w:keepNext w:val="0"/>
        <w:keepLines w:val="0"/>
        <w:pageBreakBefore w:val="0"/>
        <w:widowControl w:val="0"/>
        <w:tabs>
          <w:tab w:val="right" w:leader="dot" w:pos="9747"/>
        </w:tabs>
        <w:kinsoku/>
        <w:wordWrap/>
        <w:overflowPunct/>
        <w:topLinePunct w:val="0"/>
        <w:autoSpaceDE w:val="0"/>
        <w:autoSpaceDN w:val="0"/>
        <w:bidi w:val="0"/>
        <w:adjustRightInd w:val="0"/>
        <w:snapToGrid w:val="0"/>
        <w:spacing w:before="0" w:after="0" w:line="480" w:lineRule="auto"/>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sz w:val="24"/>
          <w:szCs w:val="24"/>
        </w:rPr>
        <w:instrText xml:space="preserve"> HYPERLINK \l _Toc28924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招标需求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_Toc28924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15"/>
        <w:keepNext w:val="0"/>
        <w:keepLines w:val="0"/>
        <w:pageBreakBefore w:val="0"/>
        <w:widowControl w:val="0"/>
        <w:tabs>
          <w:tab w:val="right" w:leader="dot" w:pos="9747"/>
        </w:tabs>
        <w:kinsoku/>
        <w:wordWrap/>
        <w:overflowPunct/>
        <w:topLinePunct w:val="0"/>
        <w:autoSpaceDE w:val="0"/>
        <w:autoSpaceDN w:val="0"/>
        <w:bidi w:val="0"/>
        <w:adjustRightInd w:val="0"/>
        <w:snapToGrid w:val="0"/>
        <w:spacing w:before="0" w:after="0" w:line="480" w:lineRule="auto"/>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sz w:val="24"/>
          <w:szCs w:val="24"/>
        </w:rPr>
        <w:instrText xml:space="preserve"> HYPERLINK \l _Toc1503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15"/>
        <w:keepNext w:val="0"/>
        <w:keepLines w:val="0"/>
        <w:pageBreakBefore w:val="0"/>
        <w:widowControl w:val="0"/>
        <w:tabs>
          <w:tab w:val="right" w:leader="dot" w:pos="9747"/>
        </w:tabs>
        <w:kinsoku/>
        <w:wordWrap/>
        <w:overflowPunct/>
        <w:topLinePunct w:val="0"/>
        <w:autoSpaceDE w:val="0"/>
        <w:autoSpaceDN w:val="0"/>
        <w:bidi w:val="0"/>
        <w:adjustRightInd w:val="0"/>
        <w:snapToGrid w:val="0"/>
        <w:spacing w:before="0" w:after="0" w:line="480" w:lineRule="auto"/>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sz w:val="24"/>
          <w:szCs w:val="24"/>
        </w:rPr>
        <w:instrText xml:space="preserve"> HYPERLINK \l _Toc28479 </w:instrText>
      </w:r>
      <w:r>
        <w:rPr>
          <w:rFonts w:hint="eastAsia" w:ascii="宋体" w:hAnsi="宋体" w:eastAsia="宋体" w:cs="宋体"/>
          <w:sz w:val="24"/>
          <w:szCs w:val="24"/>
        </w:rPr>
        <w:fldChar w:fldCharType="separate"/>
      </w:r>
      <w:r>
        <w:rPr>
          <w:rFonts w:hint="eastAsia" w:ascii="宋体" w:hAnsi="宋体" w:eastAsia="宋体" w:cs="宋体"/>
          <w:sz w:val="24"/>
          <w:szCs w:val="24"/>
        </w:rPr>
        <w:t>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_Toc28479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15"/>
        <w:keepNext w:val="0"/>
        <w:keepLines w:val="0"/>
        <w:pageBreakBefore w:val="0"/>
        <w:widowControl w:val="0"/>
        <w:tabs>
          <w:tab w:val="right" w:leader="dot" w:pos="9747"/>
        </w:tabs>
        <w:kinsoku/>
        <w:wordWrap/>
        <w:overflowPunct/>
        <w:topLinePunct w:val="0"/>
        <w:autoSpaceDE w:val="0"/>
        <w:autoSpaceDN w:val="0"/>
        <w:bidi w:val="0"/>
        <w:adjustRightInd w:val="0"/>
        <w:snapToGrid w:val="0"/>
        <w:spacing w:before="0" w:after="0" w:line="480" w:lineRule="auto"/>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sz w:val="24"/>
          <w:szCs w:val="24"/>
        </w:rPr>
        <w:instrText xml:space="preserve"> HYPERLINK \l _Toc14479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_Toc14479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15"/>
        <w:keepNext w:val="0"/>
        <w:keepLines w:val="0"/>
        <w:pageBreakBefore w:val="0"/>
        <w:widowControl w:val="0"/>
        <w:tabs>
          <w:tab w:val="right" w:leader="dot" w:pos="9747"/>
        </w:tabs>
        <w:kinsoku/>
        <w:wordWrap/>
        <w:overflowPunct/>
        <w:topLinePunct w:val="0"/>
        <w:autoSpaceDE w:val="0"/>
        <w:autoSpaceDN w:val="0"/>
        <w:bidi w:val="0"/>
        <w:adjustRightInd w:val="0"/>
        <w:snapToGrid w:val="0"/>
        <w:spacing w:before="0" w:after="0" w:line="480" w:lineRule="auto"/>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sz w:val="24"/>
          <w:szCs w:val="24"/>
        </w:rPr>
        <w:instrText xml:space="preserve"> HYPERLINK \l _Toc29450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考核制度（暂行）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_Toc29450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15"/>
        <w:keepNext w:val="0"/>
        <w:keepLines w:val="0"/>
        <w:pageBreakBefore w:val="0"/>
        <w:widowControl w:val="0"/>
        <w:tabs>
          <w:tab w:val="right" w:leader="dot" w:pos="9747"/>
        </w:tabs>
        <w:kinsoku/>
        <w:wordWrap/>
        <w:overflowPunct/>
        <w:topLinePunct w:val="0"/>
        <w:autoSpaceDE w:val="0"/>
        <w:autoSpaceDN w:val="0"/>
        <w:bidi w:val="0"/>
        <w:adjustRightInd w:val="0"/>
        <w:snapToGrid w:val="0"/>
        <w:spacing w:before="0" w:after="0" w:line="480" w:lineRule="auto"/>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sz w:val="24"/>
          <w:szCs w:val="24"/>
        </w:rPr>
        <w:instrText xml:space="preserve"> HYPERLINK \l _Toc26968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_Toc26968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0" w:firstLineChars="0"/>
        <w:jc w:val="both"/>
        <w:textAlignment w:val="baseline"/>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p>
    <w:p>
      <w:pPr>
        <w:spacing w:line="360" w:lineRule="auto"/>
        <w:ind w:firstLine="221" w:firstLineChars="100"/>
        <w:jc w:val="both"/>
        <w:rPr>
          <w:rFonts w:hint="eastAsia" w:ascii="宋体" w:hAnsi="宋体" w:eastAsia="宋体" w:cs="宋体"/>
          <w:b/>
          <w:bCs/>
          <w:color w:val="000000" w:themeColor="text1"/>
          <w:sz w:val="22"/>
          <w:szCs w:val="22"/>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14:textFill>
            <w14:solidFill>
              <w14:schemeClr w14:val="tx1"/>
            </w14:solidFill>
          </w14:textFill>
        </w:rPr>
      </w:pPr>
    </w:p>
    <w:p>
      <w:pPr>
        <w:spacing w:line="360" w:lineRule="auto"/>
        <w:jc w:val="both"/>
        <w:rPr>
          <w:rFonts w:hint="eastAsia" w:ascii="宋体" w:hAnsi="宋体" w:eastAsia="宋体" w:cs="宋体"/>
          <w:b/>
          <w:bCs/>
          <w:color w:val="000000" w:themeColor="text1"/>
          <w:sz w:val="22"/>
          <w:szCs w:val="22"/>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14:textFill>
            <w14:solidFill>
              <w14:schemeClr w14:val="tx1"/>
            </w14:solidFill>
          </w14:textFill>
        </w:rPr>
      </w:pPr>
    </w:p>
    <w:p>
      <w:pPr>
        <w:pStyle w:val="4"/>
        <w:rPr>
          <w:rFonts w:hint="eastAsia" w:ascii="宋体" w:hAnsi="宋体" w:eastAsia="宋体" w:cs="宋体"/>
          <w:b w:val="0"/>
          <w:bCs w:val="0"/>
          <w:color w:val="000000" w:themeColor="text1"/>
          <w:sz w:val="22"/>
          <w:szCs w:val="22"/>
          <w14:textFill>
            <w14:solidFill>
              <w14:schemeClr w14:val="tx1"/>
            </w14:solidFill>
          </w14:textFill>
        </w:rPr>
      </w:pPr>
    </w:p>
    <w:p>
      <w:pPr>
        <w:rPr>
          <w:rFonts w:hint="eastAsia" w:ascii="宋体" w:hAnsi="宋体" w:eastAsia="宋体" w:cs="宋体"/>
          <w:color w:val="000000" w:themeColor="text1"/>
          <w:sz w:val="22"/>
          <w:szCs w:val="22"/>
          <w14:textFill>
            <w14:solidFill>
              <w14:schemeClr w14:val="tx1"/>
            </w14:solidFill>
          </w14:textFill>
        </w:rPr>
      </w:pPr>
    </w:p>
    <w:p>
      <w:pPr>
        <w:pStyle w:val="18"/>
        <w:ind w:firstLine="220"/>
        <w:rPr>
          <w:rFonts w:hint="eastAsia" w:ascii="宋体" w:hAnsi="宋体" w:eastAsia="宋体" w:cs="宋体"/>
          <w:color w:val="000000" w:themeColor="text1"/>
          <w:sz w:val="22"/>
          <w:szCs w:val="22"/>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
          <w:bCs/>
          <w:color w:val="000000" w:themeColor="text1"/>
          <w:sz w:val="22"/>
          <w:szCs w:val="22"/>
          <w14:textFill>
            <w14:solidFill>
              <w14:schemeClr w14:val="tx1"/>
            </w14:solidFill>
          </w14:textFill>
        </w:rPr>
      </w:pPr>
    </w:p>
    <w:p>
      <w:pPr>
        <w:pStyle w:val="4"/>
        <w:rPr>
          <w:rFonts w:hint="eastAsia" w:ascii="宋体" w:hAnsi="宋体" w:eastAsia="宋体" w:cs="宋体"/>
          <w:color w:val="000000" w:themeColor="text1"/>
          <w14:textFill>
            <w14:solidFill>
              <w14:schemeClr w14:val="tx1"/>
            </w14:solidFill>
          </w14:textFill>
        </w:rPr>
      </w:pPr>
    </w:p>
    <w:bookmarkEnd w:id="0"/>
    <w:p>
      <w:pPr>
        <w:pStyle w:val="4"/>
        <w:spacing w:line="360" w:lineRule="auto"/>
        <w:jc w:val="center"/>
        <w:rPr>
          <w:rFonts w:hint="eastAsia" w:ascii="宋体" w:hAnsi="宋体" w:eastAsia="宋体" w:cs="宋体"/>
          <w:color w:val="000000" w:themeColor="text1"/>
          <w:sz w:val="30"/>
          <w:szCs w:val="30"/>
          <w14:textFill>
            <w14:solidFill>
              <w14:schemeClr w14:val="tx1"/>
            </w14:solidFill>
          </w14:textFill>
        </w:rPr>
        <w:sectPr>
          <w:headerReference r:id="rId4" w:type="first"/>
          <w:headerReference r:id="rId3" w:type="default"/>
          <w:footerReference r:id="rId5" w:type="default"/>
          <w:pgSz w:w="11907" w:h="16840"/>
          <w:pgMar w:top="1440" w:right="1080" w:bottom="1440" w:left="1080" w:header="851" w:footer="850" w:gutter="0"/>
          <w:cols w:space="720" w:num="1"/>
          <w:titlePg/>
          <w:docGrid w:linePitch="462" w:charSpace="0"/>
        </w:sectPr>
      </w:pPr>
      <w:bookmarkStart w:id="1" w:name="_Toc237176505"/>
      <w:bookmarkStart w:id="2" w:name="_Toc184785918"/>
      <w:bookmarkStart w:id="3" w:name="_Toc205638623"/>
      <w:bookmarkStart w:id="4" w:name="_Toc217289129"/>
    </w:p>
    <w:p>
      <w:pPr>
        <w:pStyle w:val="4"/>
        <w:spacing w:line="360" w:lineRule="auto"/>
        <w:jc w:val="center"/>
        <w:rPr>
          <w:rFonts w:hint="eastAsia" w:ascii="宋体" w:hAnsi="宋体" w:eastAsia="宋体" w:cs="宋体"/>
          <w:color w:val="000000" w:themeColor="text1"/>
          <w:sz w:val="30"/>
          <w:szCs w:val="30"/>
          <w14:textFill>
            <w14:solidFill>
              <w14:schemeClr w14:val="tx1"/>
            </w14:solidFill>
          </w14:textFill>
        </w:rPr>
      </w:pPr>
      <w:bookmarkStart w:id="5" w:name="_Toc23890"/>
      <w:r>
        <w:rPr>
          <w:rFonts w:hint="eastAsia" w:ascii="宋体" w:hAnsi="宋体" w:eastAsia="宋体" w:cs="宋体"/>
          <w:color w:val="000000" w:themeColor="text1"/>
          <w:sz w:val="30"/>
          <w:szCs w:val="30"/>
          <w14:textFill>
            <w14:solidFill>
              <w14:schemeClr w14:val="tx1"/>
            </w14:solidFill>
          </w14:textFill>
        </w:rPr>
        <w:t>第一章  公开招选公告</w:t>
      </w:r>
      <w:bookmarkEnd w:id="5"/>
    </w:p>
    <w:p>
      <w:pPr>
        <w:snapToGrid w:val="0"/>
        <w:spacing w:line="500" w:lineRule="exact"/>
        <w:ind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金华市天盈财务咨询有限公司受金华市金婺实业有限公司的委托，现就</w:t>
      </w:r>
      <w:r>
        <w:rPr>
          <w:rFonts w:hint="eastAsia" w:hAnsi="宋体" w:cs="宋体"/>
          <w:color w:val="000000" w:themeColor="text1"/>
          <w:sz w:val="21"/>
          <w:szCs w:val="21"/>
          <w:lang w:eastAsia="zh-CN"/>
          <w14:textFill>
            <w14:solidFill>
              <w14:schemeClr w14:val="tx1"/>
            </w14:solidFill>
          </w14:textFill>
        </w:rPr>
        <w:t>金华市金婺实业有限公司关于2022-2023年度苗木供应单位选定项目</w:t>
      </w:r>
      <w:r>
        <w:rPr>
          <w:rFonts w:hint="eastAsia" w:ascii="宋体" w:hAnsi="宋体" w:eastAsia="宋体" w:cs="宋体"/>
          <w:color w:val="000000" w:themeColor="text1"/>
          <w:sz w:val="21"/>
          <w:szCs w:val="21"/>
          <w14:textFill>
            <w14:solidFill>
              <w14:schemeClr w14:val="tx1"/>
            </w14:solidFill>
          </w14:textFill>
        </w:rPr>
        <w:t>进行公开招选，欢迎符合条件的投标人前来投标：</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一、项目编号：</w:t>
      </w:r>
      <w:r>
        <w:rPr>
          <w:rFonts w:hint="eastAsia" w:ascii="宋体" w:hAnsi="宋体" w:eastAsia="宋体" w:cs="宋体"/>
          <w:b/>
          <w:bCs/>
          <w:color w:val="000000" w:themeColor="text1"/>
          <w:sz w:val="21"/>
          <w:szCs w:val="21"/>
          <w:lang w:eastAsia="zh-CN"/>
          <w14:textFill>
            <w14:solidFill>
              <w14:schemeClr w14:val="tx1"/>
            </w14:solidFill>
          </w14:textFill>
        </w:rPr>
        <w:t>TY2022-FW680</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二、采购组织类型：自行采购委托代理（非政府采购）</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三、采购方式：公开招</w:t>
      </w:r>
      <w:r>
        <w:rPr>
          <w:rFonts w:hint="eastAsia" w:ascii="宋体" w:hAnsi="宋体" w:eastAsia="宋体" w:cs="宋体"/>
          <w:b/>
          <w:bCs/>
          <w:color w:val="000000" w:themeColor="text1"/>
          <w:sz w:val="21"/>
          <w:szCs w:val="21"/>
          <w:lang w:eastAsia="zh-CN"/>
          <w14:textFill>
            <w14:solidFill>
              <w14:schemeClr w14:val="tx1"/>
            </w14:solidFill>
          </w14:textFill>
        </w:rPr>
        <w:t>选</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四、采购内容及数量：</w:t>
      </w:r>
    </w:p>
    <w:tbl>
      <w:tblPr>
        <w:tblStyle w:val="19"/>
        <w:tblW w:w="9633"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91"/>
        <w:gridCol w:w="1375"/>
        <w:gridCol w:w="4738"/>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491"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137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采购内容</w:t>
            </w:r>
          </w:p>
        </w:tc>
        <w:tc>
          <w:tcPr>
            <w:tcW w:w="4738"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定点服务单位家数</w:t>
            </w:r>
          </w:p>
        </w:tc>
        <w:tc>
          <w:tcPr>
            <w:tcW w:w="1264"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491" w:type="dxa"/>
            <w:vMerge w:val="restart"/>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Style w:val="42"/>
                <w:rFonts w:hint="eastAsia" w:hAnsi="宋体" w:cs="宋体"/>
                <w:color w:val="000000" w:themeColor="text1"/>
                <w:sz w:val="21"/>
                <w:szCs w:val="21"/>
                <w:lang w:eastAsia="zh-CN"/>
                <w14:textFill>
                  <w14:solidFill>
                    <w14:schemeClr w14:val="tx1"/>
                  </w14:solidFill>
                </w14:textFill>
              </w:rPr>
              <w:t>金华市金婺实业有限公司关于2022-2023年度苗木供应单位选定项目</w:t>
            </w:r>
          </w:p>
        </w:tc>
        <w:tc>
          <w:tcPr>
            <w:tcW w:w="1375" w:type="dxa"/>
            <w:vAlign w:val="center"/>
          </w:tcPr>
          <w:p>
            <w:pPr>
              <w:tabs>
                <w:tab w:val="left" w:pos="1260"/>
              </w:tabs>
              <w:snapToGrid w:val="0"/>
              <w:spacing w:line="460" w:lineRule="exact"/>
              <w:jc w:val="center"/>
              <w:textAlignment w:val="auto"/>
              <w:rPr>
                <w:rStyle w:val="42"/>
                <w:rFonts w:hint="eastAsia" w:ascii="宋体" w:hAnsi="宋体" w:eastAsia="宋体" w:cs="宋体"/>
                <w:color w:val="000000" w:themeColor="text1"/>
                <w:sz w:val="21"/>
                <w:szCs w:val="21"/>
                <w14:textFill>
                  <w14:solidFill>
                    <w14:schemeClr w14:val="tx1"/>
                  </w14:solidFill>
                </w14:textFill>
              </w:rPr>
            </w:pPr>
            <w:r>
              <w:rPr>
                <w:rStyle w:val="42"/>
                <w:rFonts w:hint="eastAsia" w:ascii="宋体" w:hAnsi="宋体" w:eastAsia="宋体" w:cs="宋体"/>
                <w:color w:val="000000" w:themeColor="text1"/>
                <w:sz w:val="21"/>
                <w:szCs w:val="21"/>
                <w14:textFill>
                  <w14:solidFill>
                    <w14:schemeClr w14:val="tx1"/>
                  </w14:solidFill>
                </w14:textFill>
              </w:rPr>
              <w:t>苗木</w:t>
            </w:r>
          </w:p>
        </w:tc>
        <w:tc>
          <w:tcPr>
            <w:tcW w:w="4738" w:type="dxa"/>
            <w:vMerge w:val="restart"/>
            <w:vAlign w:val="center"/>
          </w:tcPr>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招选不多于10家入围服务机构。</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当有效的合格投标人数量＞10家时，招选排名前10家技术商务标总分最高的投标人作为入围服务单位；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当有效的合格投标人数量≤10家时，招选排名前n-1家技术商务标总分最高的投标人作为入围服务单位；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当有效的合格投标人数量＜3家时，本项目重新招标。</w:t>
            </w:r>
          </w:p>
          <w:p>
            <w:pPr>
              <w:widowControl/>
              <w:tabs>
                <w:tab w:val="left" w:pos="1260"/>
              </w:tabs>
              <w:snapToGrid w:val="0"/>
              <w:spacing w:line="46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【说明】“n”指“有效的合格投标人数量”。</w:t>
            </w:r>
          </w:p>
          <w:p>
            <w:pPr>
              <w:tabs>
                <w:tab w:val="left" w:pos="1260"/>
              </w:tabs>
              <w:snapToGrid w:val="0"/>
              <w:spacing w:line="4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【例】当有效的合格投标人数量为10家时，招选9家入围服务单位。</w:t>
            </w:r>
          </w:p>
        </w:tc>
        <w:tc>
          <w:tcPr>
            <w:tcW w:w="1264" w:type="dxa"/>
            <w:vMerge w:val="restart"/>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服务期限：</w:t>
            </w:r>
            <w:r>
              <w:rPr>
                <w:rFonts w:hint="eastAsia" w:ascii="宋体" w:hAnsi="宋体" w:eastAsia="宋体" w:cs="宋体"/>
                <w:b/>
                <w:bCs/>
                <w:color w:val="000000" w:themeColor="text1"/>
                <w:kern w:val="2"/>
                <w:sz w:val="21"/>
                <w:szCs w:val="21"/>
                <w:highlight w:val="none"/>
                <w:lang w:bidi="ar"/>
                <w14:textFill>
                  <w14:solidFill>
                    <w14:schemeClr w14:val="tx1"/>
                  </w14:solidFill>
                </w14:textFill>
              </w:rPr>
              <w:t>自</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发放入围通知书之日到2023年12月31日</w:t>
            </w:r>
            <w:r>
              <w:rPr>
                <w:rFonts w:hint="eastAsia" w:ascii="宋体" w:hAnsi="宋体" w:eastAsia="宋体" w:cs="宋体"/>
                <w:color w:val="000000" w:themeColor="text1"/>
                <w:kern w:val="2"/>
                <w:sz w:val="21"/>
                <w:szCs w:val="21"/>
                <w14:textFill>
                  <w14:solidFill>
                    <w14:schemeClr w14:val="tx1"/>
                  </w14:solidFill>
                </w14:textFill>
              </w:rPr>
              <w:t>。详见文件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3" w:type="dxa"/>
            <w:gridSpan w:val="5"/>
            <w:vAlign w:val="center"/>
          </w:tcPr>
          <w:p>
            <w:pPr>
              <w:tabs>
                <w:tab w:val="left" w:pos="1260"/>
              </w:tabs>
              <w:autoSpaceDE/>
              <w:autoSpaceDN/>
              <w:adjustRightInd/>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1.品种与数量：苗木采购，具体采购品种、规格、技术要求和采购数量由招标人根据实际工程需要而定，不封顶，不保底。</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2.项目规模：根据招标人实际需要实施的项目规模为准。</w:t>
            </w:r>
          </w:p>
          <w:p>
            <w:pPr>
              <w:tabs>
                <w:tab w:val="left" w:pos="1260"/>
              </w:tabs>
              <w:autoSpaceDE/>
              <w:autoSpaceDN/>
              <w:adjustRightInd/>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3.其它具体要求详见“第二章  招标需求”及第三章“投标人须知”。</w:t>
            </w:r>
          </w:p>
        </w:tc>
      </w:tr>
    </w:tbl>
    <w:p>
      <w:pPr>
        <w:snapToGrid w:val="0"/>
        <w:spacing w:line="500" w:lineRule="exact"/>
        <w:ind w:firstLine="420" w:firstLineChars="200"/>
        <w:rPr>
          <w:rStyle w:val="42"/>
          <w:rFonts w:hint="eastAsia" w:ascii="宋体" w:hAnsi="宋体" w:eastAsia="宋体" w:cs="宋体"/>
          <w:color w:val="000000" w:themeColor="text1"/>
          <w:sz w:val="21"/>
          <w:szCs w:val="21"/>
          <w14:textFill>
            <w14:solidFill>
              <w14:schemeClr w14:val="tx1"/>
            </w14:solidFill>
          </w14:textFill>
        </w:rPr>
      </w:pPr>
      <w:r>
        <w:rPr>
          <w:rStyle w:val="42"/>
          <w:rFonts w:hint="eastAsia" w:ascii="宋体" w:hAnsi="宋体" w:eastAsia="宋体" w:cs="宋体"/>
          <w:color w:val="000000" w:themeColor="text1"/>
          <w:sz w:val="21"/>
          <w:szCs w:val="21"/>
          <w14:textFill>
            <w14:solidFill>
              <w14:schemeClr w14:val="tx1"/>
            </w14:solidFill>
          </w14:textFill>
        </w:rPr>
        <w:t>2.质量要求：符合国家有关规范（或规定）的要求。</w:t>
      </w:r>
    </w:p>
    <w:p>
      <w:pPr>
        <w:snapToGrid w:val="0"/>
        <w:spacing w:line="500" w:lineRule="exact"/>
        <w:ind w:firstLine="420" w:firstLineChars="200"/>
        <w:rPr>
          <w:rStyle w:val="42"/>
          <w:rFonts w:hint="eastAsia" w:ascii="宋体" w:hAnsi="宋体" w:eastAsia="宋体" w:cs="宋体"/>
          <w:color w:val="000000" w:themeColor="text1"/>
          <w:sz w:val="21"/>
          <w:szCs w:val="21"/>
          <w14:textFill>
            <w14:solidFill>
              <w14:schemeClr w14:val="tx1"/>
            </w14:solidFill>
          </w14:textFill>
        </w:rPr>
      </w:pPr>
      <w:r>
        <w:rPr>
          <w:rStyle w:val="42"/>
          <w:rFonts w:hint="eastAsia" w:ascii="宋体" w:hAnsi="宋体" w:eastAsia="宋体" w:cs="宋体"/>
          <w:color w:val="000000" w:themeColor="text1"/>
          <w:sz w:val="21"/>
          <w:szCs w:val="21"/>
          <w14:textFill>
            <w14:solidFill>
              <w14:schemeClr w14:val="tx1"/>
            </w14:solidFill>
          </w14:textFill>
        </w:rPr>
        <w:t xml:space="preserve">3.服务周期：单个项目任务完成时间不超过招选人要求的期限，且成果质量满足相关规范和招选人要求。 </w:t>
      </w:r>
    </w:p>
    <w:p>
      <w:pPr>
        <w:snapToGrid w:val="0"/>
        <w:spacing w:line="500" w:lineRule="exact"/>
        <w:ind w:firstLine="420" w:firstLineChars="200"/>
        <w:rPr>
          <w:rStyle w:val="42"/>
          <w:rFonts w:hint="eastAsia" w:ascii="宋体" w:hAnsi="宋体" w:eastAsia="宋体" w:cs="宋体"/>
        </w:rPr>
      </w:pPr>
      <w:r>
        <w:rPr>
          <w:rStyle w:val="42"/>
          <w:rFonts w:hint="eastAsia" w:ascii="宋体" w:hAnsi="宋体" w:eastAsia="宋体" w:cs="宋体"/>
          <w:color w:val="000000" w:themeColor="text1"/>
          <w:sz w:val="21"/>
          <w:szCs w:val="21"/>
          <w14:textFill>
            <w14:solidFill>
              <w14:schemeClr w14:val="tx1"/>
            </w14:solidFill>
          </w14:textFill>
        </w:rPr>
        <w:t>4.服务期：自发放</w:t>
      </w:r>
      <w:r>
        <w:rPr>
          <w:rStyle w:val="42"/>
          <w:rFonts w:hint="eastAsia" w:ascii="宋体" w:hAnsi="宋体" w:eastAsia="宋体" w:cs="宋体"/>
          <w:color w:val="000000" w:themeColor="text1"/>
          <w:sz w:val="21"/>
          <w:szCs w:val="21"/>
          <w:lang w:eastAsia="zh-CN"/>
          <w14:textFill>
            <w14:solidFill>
              <w14:schemeClr w14:val="tx1"/>
            </w14:solidFill>
          </w14:textFill>
        </w:rPr>
        <w:t>入围通知书</w:t>
      </w:r>
      <w:r>
        <w:rPr>
          <w:rStyle w:val="42"/>
          <w:rFonts w:hint="eastAsia" w:ascii="宋体" w:hAnsi="宋体" w:eastAsia="宋体" w:cs="宋体"/>
          <w:color w:val="000000" w:themeColor="text1"/>
          <w:sz w:val="21"/>
          <w:szCs w:val="21"/>
          <w14:textFill>
            <w14:solidFill>
              <w14:schemeClr w14:val="tx1"/>
            </w14:solidFill>
          </w14:textFill>
        </w:rPr>
        <w:t>之日到2023年12月31日。</w:t>
      </w:r>
    </w:p>
    <w:p>
      <w:pPr>
        <w:tabs>
          <w:tab w:val="left" w:pos="1260"/>
        </w:tabs>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五、合格投标人的资格要求</w:t>
      </w:r>
    </w:p>
    <w:p>
      <w:pPr>
        <w:snapToGrid w:val="0"/>
        <w:spacing w:line="500" w:lineRule="exact"/>
        <w:ind w:firstLine="420" w:firstLineChars="200"/>
        <w:rPr>
          <w:rStyle w:val="42"/>
          <w:rFonts w:hint="eastAsia" w:ascii="宋体" w:hAnsi="宋体" w:eastAsia="宋体" w:cs="宋体"/>
          <w:color w:val="000000" w:themeColor="text1"/>
          <w:sz w:val="21"/>
          <w:szCs w:val="21"/>
          <w14:textFill>
            <w14:solidFill>
              <w14:schemeClr w14:val="tx1"/>
            </w14:solidFill>
          </w14:textFill>
        </w:rPr>
      </w:pPr>
      <w:r>
        <w:rPr>
          <w:rStyle w:val="42"/>
          <w:rFonts w:hint="eastAsia" w:ascii="宋体" w:hAnsi="宋体" w:eastAsia="宋体" w:cs="宋体"/>
          <w:color w:val="000000" w:themeColor="text1"/>
          <w:sz w:val="21"/>
          <w:szCs w:val="21"/>
          <w14:textFill>
            <w14:solidFill>
              <w14:schemeClr w14:val="tx1"/>
            </w14:solidFill>
          </w14:textFill>
        </w:rPr>
        <w:t>1.符合《中华人民共和国政府采购法》第二十二条规定的投标人资格条件，并依法取得营业执照；</w:t>
      </w:r>
    </w:p>
    <w:p>
      <w:pPr>
        <w:snapToGrid w:val="0"/>
        <w:spacing w:line="500" w:lineRule="exact"/>
        <w:ind w:firstLine="420" w:firstLineChars="200"/>
        <w:rPr>
          <w:rStyle w:val="42"/>
          <w:rFonts w:hint="eastAsia" w:ascii="宋体" w:hAnsi="宋体" w:eastAsia="宋体" w:cs="宋体"/>
          <w:color w:val="000000" w:themeColor="text1"/>
          <w:sz w:val="21"/>
          <w:szCs w:val="21"/>
          <w14:textFill>
            <w14:solidFill>
              <w14:schemeClr w14:val="tx1"/>
            </w14:solidFill>
          </w14:textFill>
        </w:rPr>
      </w:pPr>
      <w:r>
        <w:rPr>
          <w:rStyle w:val="42"/>
          <w:rFonts w:hint="eastAsia" w:ascii="宋体" w:hAnsi="宋体" w:eastAsia="宋体" w:cs="宋体"/>
          <w:color w:val="000000" w:themeColor="text1"/>
          <w:sz w:val="21"/>
          <w:szCs w:val="21"/>
          <w14:textFill>
            <w14:solidFill>
              <w14:schemeClr w14:val="tx1"/>
            </w14:solidFill>
          </w14:textFill>
        </w:rPr>
        <w:t>2.未被“信用中国”（www.creditchina.gov.cn）、中国政府采购网（www.ccgp.gov.cn）列入失信被执行人、重大税收违法案件当事人名单、政府采购严重违法失信行为记录名单；</w:t>
      </w:r>
    </w:p>
    <w:p>
      <w:pPr>
        <w:snapToGrid w:val="0"/>
        <w:spacing w:line="500" w:lineRule="exact"/>
        <w:ind w:firstLine="420" w:firstLineChars="200"/>
        <w:rPr>
          <w:rStyle w:val="42"/>
          <w:rFonts w:hint="eastAsia" w:ascii="宋体" w:hAnsi="宋体" w:eastAsia="宋体" w:cs="宋体"/>
          <w:color w:val="000000" w:themeColor="text1"/>
          <w:sz w:val="21"/>
          <w:szCs w:val="21"/>
          <w14:textFill>
            <w14:solidFill>
              <w14:schemeClr w14:val="tx1"/>
            </w14:solidFill>
          </w14:textFill>
        </w:rPr>
      </w:pPr>
      <w:r>
        <w:rPr>
          <w:rStyle w:val="42"/>
          <w:rFonts w:hint="eastAsia" w:ascii="宋体" w:hAnsi="宋体" w:eastAsia="宋体" w:cs="宋体"/>
          <w:color w:val="000000" w:themeColor="text1"/>
          <w:sz w:val="21"/>
          <w:szCs w:val="21"/>
          <w14:textFill>
            <w14:solidFill>
              <w14:schemeClr w14:val="tx1"/>
            </w14:solidFill>
          </w14:textFill>
        </w:rPr>
        <w:t>3.本项目不接受联合体投标。</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六、招选文件的获取</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1.点击婺城区城投集团(http://www.jhwcct.com/)公告下方“金华市金婺实业有限公司关于2022-2023年度苗木供应单位选定项目入围单位选定项目</w:t>
      </w:r>
      <w:r>
        <w:rPr>
          <w:rFonts w:hint="eastAsia" w:ascii="宋体" w:hAnsi="宋体" w:eastAsia="宋体" w:cs="宋体"/>
          <w:color w:val="auto"/>
          <w:sz w:val="21"/>
          <w:szCs w:val="21"/>
          <w:highlight w:val="none"/>
          <w:lang w:val="en-US" w:eastAsia="zh-CN"/>
        </w:rPr>
        <w:t>公开招选文件</w:t>
      </w:r>
      <w:r>
        <w:rPr>
          <w:rFonts w:hint="eastAsia" w:ascii="宋体" w:hAnsi="宋体" w:eastAsia="宋体" w:cs="宋体"/>
          <w:color w:val="auto"/>
          <w:sz w:val="21"/>
          <w:szCs w:val="21"/>
          <w:highlight w:val="none"/>
        </w:rPr>
        <w:t>”自行下载。请有意参与者及时下载招选文件、编制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.费用承担：</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参加本次招选活动的费用自理。报名费200元，</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文件时支付给代理单位。入围服务费</w:t>
      </w:r>
      <w:r>
        <w:rPr>
          <w:rFonts w:hint="eastAsia" w:hAnsi="宋体" w:cs="宋体"/>
          <w:color w:val="auto"/>
          <w:sz w:val="21"/>
          <w:szCs w:val="21"/>
          <w:highlight w:val="none"/>
          <w:lang w:eastAsia="zh-CN"/>
        </w:rPr>
        <w:t>为每单位</w:t>
      </w:r>
      <w:r>
        <w:rPr>
          <w:rFonts w:hint="eastAsia" w:ascii="宋体" w:hAnsi="宋体" w:eastAsia="宋体" w:cs="宋体"/>
          <w:color w:val="auto"/>
          <w:sz w:val="21"/>
          <w:szCs w:val="21"/>
          <w:highlight w:val="none"/>
        </w:rPr>
        <w:t>1000元，入围班组在领取入围通知书时支付给代理单位。</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投标截止时间和地点：</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投标人应于</w:t>
      </w:r>
      <w:r>
        <w:rPr>
          <w:rFonts w:hint="eastAsia" w:ascii="宋体" w:hAnsi="宋体" w:eastAsia="宋体" w:cs="宋体"/>
          <w:b w:val="0"/>
          <w:bCs w:val="0"/>
          <w:color w:val="000000" w:themeColor="text1"/>
          <w:sz w:val="21"/>
          <w:szCs w:val="21"/>
          <w:highlight w:val="none"/>
          <w14:textFill>
            <w14:solidFill>
              <w14:schemeClr w14:val="tx1"/>
            </w14:solidFill>
          </w14:textFill>
        </w:rPr>
        <w:t>2022年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月</w:t>
      </w:r>
      <w:r>
        <w:rPr>
          <w:rFonts w:hint="eastAsia"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09 点30分前将投标文件密封送交到金华市天盈财务咨询有限公司开标室（金华市创新街18号南楼四楼，农科教大楼西侧对面），逾期送达或未密封将予以拒收（或作无效投标文件处理）。</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 w:val="21"/>
          <w:szCs w:val="21"/>
          <w:highlight w:val="none"/>
          <w14:textFill>
            <w14:solidFill>
              <w14:schemeClr w14:val="tx1"/>
            </w14:solidFill>
          </w14:textFill>
        </w:rPr>
        <w:t>、开标时间及地点：</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本次招标将于</w:t>
      </w:r>
      <w:r>
        <w:rPr>
          <w:rFonts w:hint="eastAsia" w:ascii="宋体" w:hAnsi="宋体" w:eastAsia="宋体" w:cs="宋体"/>
          <w:b w:val="0"/>
          <w:bCs w:val="0"/>
          <w:color w:val="000000" w:themeColor="text1"/>
          <w:sz w:val="21"/>
          <w:szCs w:val="21"/>
          <w:highlight w:val="none"/>
          <w14:textFill>
            <w14:solidFill>
              <w14:schemeClr w14:val="tx1"/>
            </w14:solidFill>
          </w14:textFill>
        </w:rPr>
        <w:t>2022年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月</w:t>
      </w:r>
      <w:r>
        <w:rPr>
          <w:rFonts w:hint="eastAsia"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09 点30分在金华市天盈财务咨询有限公司开标室（金华市创新街18号南楼四楼，农科教大楼西侧对面）开标，</w:t>
      </w:r>
      <w:r>
        <w:rPr>
          <w:rStyle w:val="42"/>
          <w:rFonts w:hint="eastAsia" w:ascii="宋体" w:hAnsi="宋体" w:eastAsia="宋体" w:cs="宋体"/>
          <w:color w:val="000000" w:themeColor="text1"/>
          <w:sz w:val="21"/>
          <w:szCs w:val="21"/>
          <w:highlight w:val="none"/>
          <w14:textFill>
            <w14:solidFill>
              <w14:schemeClr w14:val="tx1"/>
            </w14:solidFill>
          </w14:textFill>
        </w:rPr>
        <w:t>投标人可以派授权代表（1人）出席开标会议，</w:t>
      </w:r>
      <w:r>
        <w:rPr>
          <w:rStyle w:val="42"/>
          <w:rFonts w:hint="eastAsia" w:ascii="宋体" w:hAnsi="宋体" w:eastAsia="宋体" w:cs="宋体"/>
          <w:b/>
          <w:bCs/>
          <w:color w:val="000000" w:themeColor="text1"/>
          <w:sz w:val="21"/>
          <w:szCs w:val="21"/>
          <w:highlight w:val="none"/>
          <w14:textFill>
            <w14:solidFill>
              <w14:schemeClr w14:val="tx1"/>
            </w14:solidFill>
          </w14:textFill>
        </w:rPr>
        <w:t>出席开标会议时须严格执行测温、亮码（健康码、行程码）、戴口罩等疫情防控措施。</w:t>
      </w:r>
    </w:p>
    <w:p>
      <w:pPr>
        <w:tabs>
          <w:tab w:val="left" w:pos="1260"/>
        </w:tabs>
        <w:autoSpaceDE/>
        <w:autoSpaceDN/>
        <w:snapToGrid w:val="0"/>
        <w:spacing w:line="500" w:lineRule="exact"/>
        <w:ind w:firstLine="422" w:firstLineChars="200"/>
        <w:jc w:val="both"/>
        <w:textAlignment w:val="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九</w:t>
      </w:r>
      <w:r>
        <w:rPr>
          <w:rStyle w:val="42"/>
          <w:rFonts w:hint="eastAsia" w:hAnsi="宋体" w:cs="宋体"/>
          <w:b/>
          <w:sz w:val="21"/>
          <w:szCs w:val="21"/>
        </w:rPr>
        <w:t>、</w:t>
      </w:r>
      <w:r>
        <w:rPr>
          <w:rFonts w:hint="eastAsia" w:hAnsi="宋体" w:cs="宋体"/>
          <w:b/>
          <w:sz w:val="21"/>
          <w:szCs w:val="21"/>
        </w:rPr>
        <w:t>公告地址：</w:t>
      </w:r>
      <w:r>
        <w:rPr>
          <w:rFonts w:hint="eastAsia" w:hAnsi="宋体" w:cs="宋体"/>
          <w:sz w:val="21"/>
          <w:szCs w:val="21"/>
        </w:rPr>
        <w:t>婺城区城投集团(http://www.jhwcct.com/)；</w:t>
      </w:r>
      <w:r>
        <w:rPr>
          <w:rFonts w:hint="eastAsia" w:hAnsi="宋体" w:cs="宋体"/>
          <w:sz w:val="21"/>
          <w:szCs w:val="21"/>
          <w:lang w:val="en-US" w:eastAsia="zh-CN"/>
        </w:rPr>
        <w:t>金华日报</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Style w:val="42"/>
          <w:rFonts w:hint="eastAsia" w:hAnsi="宋体" w:cs="宋体"/>
          <w:b/>
          <w:sz w:val="21"/>
          <w:szCs w:val="21"/>
        </w:rPr>
        <w:t>十</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业务咨询：</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w:t>
      </w:r>
      <w:r>
        <w:rPr>
          <w:rFonts w:hint="eastAsia" w:ascii="宋体" w:hAnsi="宋体" w:eastAsia="宋体" w:cs="宋体"/>
          <w:color w:val="000000" w:themeColor="text1"/>
          <w:sz w:val="21"/>
          <w:szCs w:val="21"/>
          <w:highlight w:val="none"/>
          <w:lang w:eastAsia="zh-CN"/>
          <w14:textFill>
            <w14:solidFill>
              <w14:schemeClr w14:val="tx1"/>
            </w14:solidFill>
          </w14:textFill>
        </w:rPr>
        <w:t>金华市金婺实业有限公司</w:t>
      </w:r>
    </w:p>
    <w:p>
      <w:pPr>
        <w:keepNext w:val="0"/>
        <w:keepLines w:val="0"/>
        <w:pageBreakBefore w:val="0"/>
        <w:widowControl w:val="0"/>
        <w:tabs>
          <w:tab w:val="left" w:pos="1260"/>
        </w:tabs>
        <w:kinsoku/>
        <w:wordWrap/>
        <w:overflowPunct/>
        <w:topLinePunct w:val="0"/>
        <w:autoSpaceDE/>
        <w:autoSpaceDN/>
        <w:bidi w:val="0"/>
        <w:adjustRightInd w:val="0"/>
        <w:spacing w:line="490" w:lineRule="exact"/>
        <w:ind w:firstLine="420" w:firstLineChars="200"/>
        <w:jc w:val="both"/>
        <w:textAlignment w:val="auto"/>
        <w:outlineLvl w:val="9"/>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联系人：</w:t>
      </w:r>
      <w:r>
        <w:rPr>
          <w:rFonts w:hint="eastAsia" w:hAnsi="宋体" w:cs="宋体"/>
          <w:color w:val="auto"/>
          <w:sz w:val="21"/>
          <w:szCs w:val="21"/>
          <w:highlight w:val="none"/>
          <w:lang w:eastAsia="zh-CN"/>
        </w:rPr>
        <w:t>徐女士</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 xml:space="preserve">            联系电话：</w:t>
      </w:r>
      <w:r>
        <w:rPr>
          <w:rFonts w:hint="eastAsia" w:hAnsi="宋体" w:cs="宋体"/>
          <w:color w:val="auto"/>
          <w:sz w:val="21"/>
          <w:szCs w:val="21"/>
          <w:highlight w:val="none"/>
          <w:lang w:val="en-US" w:eastAsia="zh-CN"/>
        </w:rPr>
        <w:t xml:space="preserve">0579-82215235 </w:t>
      </w:r>
    </w:p>
    <w:p>
      <w:pPr>
        <w:keepNext w:val="0"/>
        <w:keepLines w:val="0"/>
        <w:pageBreakBefore w:val="0"/>
        <w:widowControl w:val="0"/>
        <w:tabs>
          <w:tab w:val="left" w:pos="1260"/>
        </w:tabs>
        <w:kinsoku/>
        <w:wordWrap/>
        <w:overflowPunct/>
        <w:topLinePunct w:val="0"/>
        <w:autoSpaceDE/>
        <w:autoSpaceDN/>
        <w:bidi w:val="0"/>
        <w:adjustRightInd w:val="0"/>
        <w:spacing w:line="490" w:lineRule="exact"/>
        <w:ind w:firstLine="420" w:firstLineChars="200"/>
        <w:jc w:val="both"/>
        <w:textAlignment w:val="auto"/>
        <w:outlineLvl w:val="9"/>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质疑联系人：</w:t>
      </w:r>
      <w:r>
        <w:rPr>
          <w:rFonts w:hint="eastAsia" w:hAnsi="宋体" w:cs="宋体"/>
          <w:color w:val="auto"/>
          <w:sz w:val="21"/>
          <w:szCs w:val="21"/>
          <w:highlight w:val="none"/>
          <w:lang w:eastAsia="zh-CN"/>
        </w:rPr>
        <w:t>徐女士</w:t>
      </w:r>
      <w:r>
        <w:rPr>
          <w:rFonts w:hint="eastAsia" w:hAnsi="宋体" w:cs="宋体"/>
          <w:color w:val="auto"/>
          <w:sz w:val="21"/>
          <w:szCs w:val="21"/>
          <w:highlight w:val="none"/>
          <w:lang w:val="en-US" w:eastAsia="zh-CN"/>
        </w:rPr>
        <w:t xml:space="preserve">         质疑</w:t>
      </w:r>
      <w:r>
        <w:rPr>
          <w:rFonts w:hint="eastAsia" w:hAnsi="宋体" w:cs="宋体"/>
          <w:color w:val="auto"/>
          <w:sz w:val="21"/>
          <w:szCs w:val="21"/>
          <w:highlight w:val="none"/>
        </w:rPr>
        <w:t>联系电话：</w:t>
      </w:r>
      <w:r>
        <w:rPr>
          <w:rFonts w:hint="eastAsia" w:hAnsi="宋体" w:cs="宋体"/>
          <w:color w:val="auto"/>
          <w:sz w:val="21"/>
          <w:szCs w:val="21"/>
          <w:highlight w:val="none"/>
          <w:lang w:val="en-US" w:eastAsia="zh-CN"/>
        </w:rPr>
        <w:t xml:space="preserve">0579-82215235 </w:t>
      </w:r>
    </w:p>
    <w:p>
      <w:pPr>
        <w:keepNext w:val="0"/>
        <w:keepLines w:val="0"/>
        <w:pageBreakBefore w:val="0"/>
        <w:widowControl w:val="0"/>
        <w:kinsoku/>
        <w:wordWrap/>
        <w:overflowPunct/>
        <w:topLinePunct w:val="0"/>
        <w:bidi w:val="0"/>
        <w:adjustRightInd w:val="0"/>
        <w:snapToGrid w:val="0"/>
        <w:spacing w:line="490" w:lineRule="exact"/>
        <w:ind w:firstLine="420" w:firstLineChars="200"/>
        <w:outlineLvl w:val="9"/>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lang w:eastAsia="zh-CN"/>
        </w:rPr>
        <w:t>：</w:t>
      </w:r>
      <w:r>
        <w:rPr>
          <w:rFonts w:hint="eastAsia" w:hAnsi="宋体" w:cs="宋体"/>
          <w:color w:val="auto"/>
          <w:sz w:val="21"/>
          <w:szCs w:val="21"/>
          <w:highlight w:val="none"/>
        </w:rPr>
        <w:t>浙江省金华市婺城区水上运动中心</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体育大楼</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代理机构：金华市天盈财务咨询有限公司</w:t>
      </w:r>
    </w:p>
    <w:p>
      <w:pPr>
        <w:snapToGrid w:val="0"/>
        <w:spacing w:line="500" w:lineRule="exact"/>
        <w:ind w:left="420" w:hanging="420" w:hanging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联系人：</w:t>
      </w:r>
      <w:r>
        <w:rPr>
          <w:rFonts w:hint="eastAsia" w:hAnsi="宋体" w:cs="宋体"/>
          <w:color w:val="000000" w:themeColor="text1"/>
          <w:sz w:val="21"/>
          <w:szCs w:val="21"/>
          <w:highlight w:val="none"/>
          <w:lang w:eastAsia="zh-CN"/>
          <w14:textFill>
            <w14:solidFill>
              <w14:schemeClr w14:val="tx1"/>
            </w14:solidFill>
          </w14:textFill>
        </w:rPr>
        <w:t>卢女士</w:t>
      </w:r>
      <w:r>
        <w:rPr>
          <w:rFonts w:hint="eastAsia" w:ascii="宋体" w:hAnsi="宋体" w:eastAsia="宋体" w:cs="宋体"/>
          <w:color w:val="000000" w:themeColor="text1"/>
          <w:sz w:val="21"/>
          <w:szCs w:val="21"/>
          <w:highlight w:val="none"/>
          <w14:textFill>
            <w14:solidFill>
              <w14:schemeClr w14:val="tx1"/>
            </w14:solidFill>
          </w14:textFill>
        </w:rPr>
        <w:t xml:space="preserve">            联系电话：0579-8216</w:t>
      </w:r>
      <w:r>
        <w:rPr>
          <w:rFonts w:hint="eastAsia" w:ascii="宋体" w:hAnsi="宋体" w:eastAsia="宋体" w:cs="宋体"/>
          <w:color w:val="000000" w:themeColor="text1"/>
          <w:sz w:val="21"/>
          <w:szCs w:val="21"/>
          <w:highlight w:val="none"/>
          <w:lang w:val="en-US" w:eastAsia="zh-CN"/>
          <w14:textFill>
            <w14:solidFill>
              <w14:schemeClr w14:val="tx1"/>
            </w14:solidFill>
          </w14:textFill>
        </w:rPr>
        <w:t>2067</w:t>
      </w:r>
      <w:r>
        <w:rPr>
          <w:rFonts w:hint="eastAsia" w:ascii="宋体" w:hAnsi="宋体" w:eastAsia="宋体" w:cs="宋体"/>
          <w:color w:val="000000" w:themeColor="text1"/>
          <w:sz w:val="21"/>
          <w:szCs w:val="21"/>
          <w:highlight w:val="none"/>
          <w14:textFill>
            <w14:solidFill>
              <w14:schemeClr w14:val="tx1"/>
            </w14:solidFill>
          </w14:textFill>
        </w:rPr>
        <w:t xml:space="preserve">、81338925   </w:t>
      </w:r>
    </w:p>
    <w:p>
      <w:pPr>
        <w:snapToGrid w:val="0"/>
        <w:spacing w:line="500" w:lineRule="exact"/>
        <w:ind w:left="415" w:leftChars="1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真：0579-82460882</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质疑联系人：夏</w:t>
      </w:r>
      <w:r>
        <w:rPr>
          <w:rFonts w:hint="eastAsia" w:hAnsi="宋体" w:cs="宋体"/>
          <w:color w:val="000000" w:themeColor="text1"/>
          <w:sz w:val="21"/>
          <w:szCs w:val="21"/>
          <w:highlight w:val="none"/>
          <w:lang w:eastAsia="zh-CN"/>
          <w14:textFill>
            <w14:solidFill>
              <w14:schemeClr w14:val="tx1"/>
            </w14:solidFill>
          </w14:textFill>
        </w:rPr>
        <w:t>先生</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质疑联系电话：0579-82474058</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地址：金华市创新街18号南楼四楼</w:t>
      </w:r>
    </w:p>
    <w:p>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p>
    <w:bookmarkEnd w:id="1"/>
    <w:bookmarkEnd w:id="2"/>
    <w:bookmarkEnd w:id="3"/>
    <w:bookmarkEnd w:id="4"/>
    <w:p>
      <w:pPr>
        <w:pStyle w:val="4"/>
        <w:keepNext w:val="0"/>
        <w:spacing w:line="460" w:lineRule="exact"/>
        <w:jc w:val="center"/>
        <w:rPr>
          <w:rFonts w:hint="eastAsia" w:ascii="宋体" w:hAnsi="宋体" w:eastAsia="宋体" w:cs="宋体"/>
          <w:color w:val="000000" w:themeColor="text1"/>
          <w:sz w:val="30"/>
          <w:szCs w:val="30"/>
          <w14:textFill>
            <w14:solidFill>
              <w14:schemeClr w14:val="tx1"/>
            </w14:solidFill>
          </w14:textFill>
        </w:rPr>
      </w:pPr>
      <w:bookmarkStart w:id="6" w:name="_Toc28924"/>
      <w:r>
        <w:rPr>
          <w:rFonts w:hint="eastAsia" w:ascii="宋体" w:hAnsi="宋体" w:eastAsia="宋体" w:cs="宋体"/>
          <w:color w:val="000000" w:themeColor="text1"/>
          <w:sz w:val="30"/>
          <w:szCs w:val="30"/>
          <w14:textFill>
            <w14:solidFill>
              <w14:schemeClr w14:val="tx1"/>
            </w14:solidFill>
          </w14:textFill>
        </w:rPr>
        <w:t>第二章  招标需求</w:t>
      </w:r>
      <w:bookmarkEnd w:id="6"/>
    </w:p>
    <w:p>
      <w:pPr>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bookmarkStart w:id="7" w:name="_Toc6796"/>
      <w:bookmarkStart w:id="8" w:name="_Toc57893284"/>
      <w:r>
        <w:rPr>
          <w:rFonts w:hint="eastAsia" w:ascii="宋体" w:hAnsi="宋体" w:eastAsia="宋体" w:cs="宋体"/>
          <w:b/>
          <w:bCs/>
          <w:color w:val="000000" w:themeColor="text1"/>
          <w:sz w:val="21"/>
          <w:szCs w:val="21"/>
          <w14:textFill>
            <w14:solidFill>
              <w14:schemeClr w14:val="tx1"/>
            </w14:solidFill>
          </w14:textFill>
        </w:rPr>
        <w:t>一、项目概述</w:t>
      </w:r>
    </w:p>
    <w:tbl>
      <w:tblPr>
        <w:tblStyle w:val="19"/>
        <w:tblW w:w="9633"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91"/>
        <w:gridCol w:w="1375"/>
        <w:gridCol w:w="4738"/>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491"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137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采购内容</w:t>
            </w:r>
          </w:p>
        </w:tc>
        <w:tc>
          <w:tcPr>
            <w:tcW w:w="4738"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定点服务单位家数</w:t>
            </w:r>
          </w:p>
        </w:tc>
        <w:tc>
          <w:tcPr>
            <w:tcW w:w="1264"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491" w:type="dxa"/>
            <w:vMerge w:val="restart"/>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Style w:val="42"/>
                <w:rFonts w:hint="eastAsia" w:hAnsi="宋体" w:cs="宋体"/>
                <w:color w:val="000000" w:themeColor="text1"/>
                <w:sz w:val="21"/>
                <w:szCs w:val="21"/>
                <w:lang w:eastAsia="zh-CN"/>
                <w14:textFill>
                  <w14:solidFill>
                    <w14:schemeClr w14:val="tx1"/>
                  </w14:solidFill>
                </w14:textFill>
              </w:rPr>
              <w:t>金华市金婺实业有限公司关于2022-2023年度苗木供应单位选定项目</w:t>
            </w:r>
          </w:p>
        </w:tc>
        <w:tc>
          <w:tcPr>
            <w:tcW w:w="1375" w:type="dxa"/>
            <w:vAlign w:val="center"/>
          </w:tcPr>
          <w:p>
            <w:pPr>
              <w:tabs>
                <w:tab w:val="left" w:pos="1260"/>
              </w:tabs>
              <w:snapToGrid w:val="0"/>
              <w:spacing w:line="460" w:lineRule="exact"/>
              <w:jc w:val="center"/>
              <w:textAlignment w:val="auto"/>
              <w:rPr>
                <w:rStyle w:val="42"/>
                <w:rFonts w:hint="eastAsia" w:ascii="宋体" w:hAnsi="宋体" w:eastAsia="宋体" w:cs="宋体"/>
                <w:color w:val="000000" w:themeColor="text1"/>
                <w:sz w:val="21"/>
                <w:szCs w:val="21"/>
                <w14:textFill>
                  <w14:solidFill>
                    <w14:schemeClr w14:val="tx1"/>
                  </w14:solidFill>
                </w14:textFill>
              </w:rPr>
            </w:pPr>
            <w:r>
              <w:rPr>
                <w:rStyle w:val="42"/>
                <w:rFonts w:hint="eastAsia" w:ascii="宋体" w:hAnsi="宋体" w:eastAsia="宋体" w:cs="宋体"/>
                <w:color w:val="000000" w:themeColor="text1"/>
                <w:sz w:val="21"/>
                <w:szCs w:val="21"/>
                <w14:textFill>
                  <w14:solidFill>
                    <w14:schemeClr w14:val="tx1"/>
                  </w14:solidFill>
                </w14:textFill>
              </w:rPr>
              <w:t>苗木</w:t>
            </w:r>
          </w:p>
        </w:tc>
        <w:tc>
          <w:tcPr>
            <w:tcW w:w="4738" w:type="dxa"/>
            <w:vMerge w:val="restart"/>
            <w:vAlign w:val="center"/>
          </w:tcPr>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本项目招选不多于10家入围服务机构。</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当有效的合格投标人数量＞10家时，招选排名前10家技术商务标总分最高的投标人作为入围服务单位；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当有效的合格投标人数量≤10家时，招选排名前n-1家技术商务标总分最高的投标人作为入围服务单位；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当有效的合格投标人数量＜3家时，本项目重新招标。</w:t>
            </w:r>
          </w:p>
          <w:p>
            <w:pPr>
              <w:widowControl/>
              <w:tabs>
                <w:tab w:val="left" w:pos="1260"/>
              </w:tabs>
              <w:snapToGrid w:val="0"/>
              <w:spacing w:line="46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【说明】“n”指“有效的合格投标人数量”。</w:t>
            </w:r>
          </w:p>
          <w:p>
            <w:pPr>
              <w:tabs>
                <w:tab w:val="left" w:pos="1260"/>
              </w:tabs>
              <w:snapToGrid w:val="0"/>
              <w:spacing w:line="4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【例】当有效的合格投标人数量为10家时，招选9家入围服务单位。</w:t>
            </w:r>
          </w:p>
        </w:tc>
        <w:tc>
          <w:tcPr>
            <w:tcW w:w="1264" w:type="dxa"/>
            <w:vMerge w:val="restart"/>
            <w:vAlign w:val="center"/>
          </w:tcPr>
          <w:p>
            <w:pPr>
              <w:tabs>
                <w:tab w:val="left" w:pos="1260"/>
              </w:tabs>
              <w:snapToGrid w:val="0"/>
              <w:spacing w:line="460" w:lineRule="exact"/>
              <w:jc w:val="center"/>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服务期限：</w:t>
            </w:r>
            <w:r>
              <w:rPr>
                <w:rFonts w:hint="eastAsia" w:ascii="宋体" w:hAnsi="宋体" w:eastAsia="宋体" w:cs="宋体"/>
                <w:b/>
                <w:bCs/>
                <w:color w:val="000000" w:themeColor="text1"/>
                <w:kern w:val="2"/>
                <w:sz w:val="21"/>
                <w:szCs w:val="21"/>
                <w:highlight w:val="none"/>
                <w:lang w:bidi="ar"/>
                <w14:textFill>
                  <w14:solidFill>
                    <w14:schemeClr w14:val="tx1"/>
                  </w14:solidFill>
                </w14:textFill>
              </w:rPr>
              <w:t>自</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发放入围通知书之日到2023年12月31日</w:t>
            </w:r>
            <w:r>
              <w:rPr>
                <w:rFonts w:hint="eastAsia" w:ascii="宋体" w:hAnsi="宋体" w:eastAsia="宋体" w:cs="宋体"/>
                <w:color w:val="000000" w:themeColor="text1"/>
                <w:kern w:val="2"/>
                <w:sz w:val="21"/>
                <w:szCs w:val="21"/>
                <w14:textFill>
                  <w14:solidFill>
                    <w14:schemeClr w14:val="tx1"/>
                  </w14:solidFill>
                </w14:textFill>
              </w:rPr>
              <w:t>。</w:t>
            </w:r>
          </w:p>
          <w:p>
            <w:pPr>
              <w:tabs>
                <w:tab w:val="left" w:pos="1260"/>
              </w:tabs>
              <w:snapToGrid w:val="0"/>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详见文件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3" w:type="dxa"/>
            <w:gridSpan w:val="5"/>
            <w:vAlign w:val="center"/>
          </w:tcPr>
          <w:p>
            <w:pPr>
              <w:tabs>
                <w:tab w:val="left" w:pos="1260"/>
              </w:tabs>
              <w:autoSpaceDE/>
              <w:autoSpaceDN/>
              <w:adjustRightInd/>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1.品种与数量：苗木采购，具体采购品种、规格、技术要求和采购数量由招标人根据实际工程需要而定，不封顶，不保底。</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2.项目规模：根据采购人实际需要实施的项目规模为准。</w:t>
            </w:r>
          </w:p>
          <w:p>
            <w:pPr>
              <w:tabs>
                <w:tab w:val="left" w:pos="1260"/>
              </w:tabs>
              <w:autoSpaceDE/>
              <w:autoSpaceDN/>
              <w:adjustRightInd/>
              <w:snapToGrid w:val="0"/>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3.其它具体要求详见</w:t>
            </w:r>
            <w:r>
              <w:rPr>
                <w:rFonts w:hint="eastAsia" w:hAnsi="宋体" w:cs="宋体"/>
                <w:color w:val="000000" w:themeColor="text1"/>
                <w:sz w:val="21"/>
                <w:szCs w:val="21"/>
                <w:lang w:val="en-US" w:eastAsia="zh-CN"/>
                <w14:textFill>
                  <w14:solidFill>
                    <w14:schemeClr w14:val="tx1"/>
                  </w14:solidFill>
                </w14:textFill>
              </w:rPr>
              <w:t>下文</w:t>
            </w:r>
            <w:r>
              <w:rPr>
                <w:rFonts w:hint="eastAsia" w:ascii="宋体" w:hAnsi="宋体" w:eastAsia="宋体" w:cs="宋体"/>
                <w:color w:val="000000" w:themeColor="text1"/>
                <w:sz w:val="21"/>
                <w:szCs w:val="21"/>
                <w14:textFill>
                  <w14:solidFill>
                    <w14:schemeClr w14:val="tx1"/>
                  </w14:solidFill>
                </w14:textFill>
              </w:rPr>
              <w:t>及第三章“投标人须知”。</w:t>
            </w:r>
          </w:p>
        </w:tc>
      </w:tr>
    </w:tbl>
    <w:p>
      <w:pPr>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bookmarkStart w:id="9" w:name="_Toc88665230"/>
      <w:r>
        <w:rPr>
          <w:rFonts w:hint="eastAsia" w:ascii="宋体" w:hAnsi="宋体" w:eastAsia="宋体" w:cs="宋体"/>
          <w:color w:val="000000" w:themeColor="text1"/>
          <w:sz w:val="21"/>
          <w:szCs w:val="21"/>
          <w14:textFill>
            <w14:solidFill>
              <w14:schemeClr w14:val="tx1"/>
            </w14:solidFill>
          </w14:textFill>
        </w:rPr>
        <w:t>1.项目规模：以招标人实际需要实施的项目规模为准。</w:t>
      </w:r>
    </w:p>
    <w:p>
      <w:pPr>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2.项目服务范围：以招标人实际需要实施项目的服务范围为准。</w:t>
      </w:r>
    </w:p>
    <w:p>
      <w:pPr>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3.质量要求：符合有关法律、法规及规章规定，符合国标、行标合格要求及招标人委托项目相关要求。</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服务期限：自发放</w:t>
      </w:r>
      <w:r>
        <w:rPr>
          <w:rFonts w:hint="eastAsia" w:ascii="宋体" w:hAnsi="宋体" w:eastAsia="宋体" w:cs="宋体"/>
          <w:color w:val="000000" w:themeColor="text1"/>
          <w:sz w:val="21"/>
          <w:szCs w:val="21"/>
          <w:highlight w:val="none"/>
          <w:lang w:eastAsia="zh-CN"/>
          <w14:textFill>
            <w14:solidFill>
              <w14:schemeClr w14:val="tx1"/>
            </w14:solidFill>
          </w14:textFill>
        </w:rPr>
        <w:t>入围通知书</w:t>
      </w:r>
      <w:r>
        <w:rPr>
          <w:rFonts w:hint="eastAsia" w:ascii="宋体" w:hAnsi="宋体" w:eastAsia="宋体" w:cs="宋体"/>
          <w:color w:val="000000" w:themeColor="text1"/>
          <w:sz w:val="21"/>
          <w:szCs w:val="21"/>
          <w:highlight w:val="none"/>
          <w14:textFill>
            <w14:solidFill>
              <w14:schemeClr w14:val="tx1"/>
            </w14:solidFill>
          </w14:textFill>
        </w:rPr>
        <w:t>之日到2023年12月31日。</w:t>
      </w:r>
    </w:p>
    <w:p>
      <w:pPr>
        <w:snapToGrid w:val="0"/>
        <w:spacing w:line="500" w:lineRule="exact"/>
        <w:ind w:firstLine="420" w:firstLineChars="200"/>
        <w:rPr>
          <w:rStyle w:val="42"/>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供应商入围单位数量：视经评审后有效投标单位数量确定入围单位数量。当有效投标人数量＞10家时，招选排名前10家技术商务标总分最高的投标人作为入围服务单位；当有效投标人数量≤10家时，招选排名前n-1家技术商务标总分最高的投标人作为入围服务单位；当有效投标人数量＜3家时，本项目重新招标。</w:t>
      </w:r>
    </w:p>
    <w:p>
      <w:pPr>
        <w:pStyle w:val="8"/>
        <w:widowControl/>
        <w:autoSpaceDE/>
        <w:autoSpaceDN/>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6.入围期内任务分配：</w:t>
      </w:r>
    </w:p>
    <w:p>
      <w:pPr>
        <w:pStyle w:val="8"/>
        <w:widowControl/>
        <w:autoSpaceDE/>
        <w:autoSpaceDN/>
        <w:snapToGrid w:val="0"/>
        <w:spacing w:line="50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（1）在本项目入围服务期内，招标人根据具体实施项目，在入围单位中通过“竞价”的方式确定每个项目的具体实施单位。</w:t>
      </w:r>
    </w:p>
    <w:p>
      <w:pPr>
        <w:pStyle w:val="8"/>
        <w:widowControl/>
        <w:autoSpaceDE/>
        <w:autoSpaceDN/>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通过竞价确定的实施单位如已承接业务量可能会对招标人本次竞价项目的实施质量或工期等产生不良影响的或在本服务期内该投标人已经连续两次通过竞价成交具体项目（不论履行完毕与否），采购单位有权重新确定实施单位。</w:t>
      </w:r>
    </w:p>
    <w:p>
      <w:pPr>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（3）如项目实施的特殊需要（如“特殊树种”、“特定规格”等），招标人也可以根据项目特点结合投标人实际能力，直接指定项目的实施单位。</w:t>
      </w:r>
    </w:p>
    <w:p>
      <w:pPr>
        <w:pStyle w:val="2"/>
        <w:snapToGrid w:val="0"/>
        <w:spacing w:after="0" w:line="500" w:lineRule="exact"/>
        <w:ind w:left="0" w:leftChars="0" w:firstLine="42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（4）对于采购单位认为竞价结果重大偏离市场公允价的（超过市场公允价10%），采购单位有权针对该项目开展重新竞价或公开招标。</w:t>
      </w:r>
    </w:p>
    <w:p>
      <w:pPr>
        <w:snapToGrid w:val="0"/>
        <w:spacing w:line="500" w:lineRule="exact"/>
        <w:ind w:firstLine="422" w:firstLineChars="200"/>
        <w:rPr>
          <w:rStyle w:val="42"/>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（5）服务量及金额以服务期内采购单位的实际需要为准，不封顶，不保底。</w:t>
      </w:r>
      <w:r>
        <w:rPr>
          <w:rFonts w:hint="eastAsia" w:ascii="宋体" w:hAnsi="宋体" w:eastAsia="宋体" w:cs="宋体"/>
          <w:color w:val="000000" w:themeColor="text1"/>
          <w:sz w:val="21"/>
          <w:szCs w:val="21"/>
          <w14:textFill>
            <w14:solidFill>
              <w14:schemeClr w14:val="tx1"/>
            </w14:solidFill>
          </w14:textFill>
        </w:rPr>
        <w:t>投标人不保证服务期限内每家入围单位的最低服务量及金额。</w:t>
      </w:r>
    </w:p>
    <w:p>
      <w:pPr>
        <w:widowControl/>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7.入围说明：</w:t>
      </w:r>
    </w:p>
    <w:p>
      <w:pPr>
        <w:pStyle w:val="17"/>
        <w:widowControl/>
        <w:numPr>
          <w:ilvl w:val="0"/>
          <w:numId w:val="1"/>
        </w:numPr>
        <w:snapToGrid w:val="0"/>
        <w:spacing w:beforeAutospacing="0" w:afterAutospacing="0"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入围后，招标人将组织人员对入围单位进行实地踏勘。</w:t>
      </w:r>
    </w:p>
    <w:p>
      <w:pPr>
        <w:pStyle w:val="17"/>
        <w:widowControl/>
        <w:numPr>
          <w:ilvl w:val="0"/>
          <w:numId w:val="1"/>
        </w:numPr>
        <w:snapToGrid w:val="0"/>
        <w:spacing w:beforeAutospacing="0" w:afterAutospacing="0"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入围后，招标人根据单个项目实际情况向入围单位发出项目竞价单，入围单位须在招标人规定时间内就竞价单中所有内容（包括但不限于报价、工期、付款条件等）作出响应。</w:t>
      </w:r>
    </w:p>
    <w:p>
      <w:pPr>
        <w:pStyle w:val="17"/>
        <w:widowControl/>
        <w:numPr>
          <w:ilvl w:val="0"/>
          <w:numId w:val="1"/>
        </w:numPr>
        <w:snapToGrid w:val="0"/>
        <w:spacing w:beforeAutospacing="0" w:afterAutospacing="0"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入围单位必须遵守招标人的</w:t>
      </w:r>
      <w:r>
        <w:rPr>
          <w:rFonts w:hint="eastAsia" w:ascii="宋体" w:hAnsi="宋体" w:eastAsia="宋体" w:cs="宋体"/>
          <w:sz w:val="21"/>
          <w:szCs w:val="21"/>
          <w:highlight w:val="none"/>
        </w:rPr>
        <w:t>竞价制度、</w:t>
      </w:r>
      <w:r>
        <w:rPr>
          <w:rFonts w:hint="eastAsia" w:ascii="宋体" w:hAnsi="宋体" w:eastAsia="宋体" w:cs="宋体"/>
          <w:sz w:val="21"/>
          <w:szCs w:val="21"/>
        </w:rPr>
        <w:t>考核制度和管理制度。</w:t>
      </w:r>
    </w:p>
    <w:p>
      <w:pPr>
        <w:pStyle w:val="17"/>
        <w:widowControl/>
        <w:numPr>
          <w:ilvl w:val="0"/>
          <w:numId w:val="1"/>
        </w:numPr>
        <w:snapToGrid w:val="0"/>
        <w:spacing w:beforeAutospacing="0" w:afterAutospacing="0"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后续招标人将对入围单位在服务期内的表现进行考核。若满足不了招标人考核要求的入围单位，招标人有权终止合同并重新招标。</w:t>
      </w:r>
    </w:p>
    <w:p>
      <w:pPr>
        <w:widowControl/>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8.供货要求：本次项目以多次分批配送的形式完成。每次供货在采购单位下达采购计划后，按照采购单位指定的时间、地点、数量进行配送。供货分以下两种情形：</w:t>
      </w:r>
    </w:p>
    <w:p>
      <w:pPr>
        <w:widowControl/>
        <w:snapToGrid w:val="0"/>
        <w:spacing w:line="500" w:lineRule="exact"/>
        <w:ind w:firstLine="420" w:firstLineChars="200"/>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14:textFill>
            <w14:solidFill>
              <w14:schemeClr w14:val="tx1"/>
            </w14:solidFill>
          </w14:textFill>
        </w:rPr>
        <w:t>常规苗木采购：供应苗木并运至工程现场全过程。运送至施工现场时，袋装苗木要求保持袋装的完整性，非袋装苗木土球需用草绳或钢丝网捆扎，并且要求苗木在验收时必须具备该苗木</w:t>
      </w:r>
      <w:r>
        <w:rPr>
          <w:rFonts w:hint="eastAsia" w:ascii="宋体" w:hAnsi="宋体" w:eastAsia="宋体" w:cs="宋体"/>
          <w:color w:val="000000" w:themeColor="text1"/>
          <w:sz w:val="21"/>
          <w:szCs w:val="21"/>
          <w14:textFill>
            <w14:solidFill>
              <w14:schemeClr w14:val="tx1"/>
            </w14:solidFill>
          </w14:textFill>
        </w:rPr>
        <w:t>应</w:t>
      </w:r>
      <w:r>
        <w:rPr>
          <w:rFonts w:hint="eastAsia" w:ascii="宋体" w:hAnsi="宋体" w:eastAsia="宋体" w:cs="宋体"/>
          <w:color w:val="000000" w:themeColor="text1"/>
          <w:sz w:val="21"/>
          <w:szCs w:val="21"/>
          <w:lang w:val="en-US"/>
          <w14:textFill>
            <w14:solidFill>
              <w14:schemeClr w14:val="tx1"/>
            </w14:solidFill>
          </w14:textFill>
        </w:rPr>
        <w:t>达到招标规定要求</w:t>
      </w:r>
      <w:r>
        <w:rPr>
          <w:rFonts w:hint="eastAsia" w:ascii="宋体" w:hAnsi="宋体" w:eastAsia="宋体" w:cs="宋体"/>
          <w:color w:val="000000" w:themeColor="text1"/>
          <w:sz w:val="21"/>
          <w:szCs w:val="21"/>
          <w14:textFill>
            <w14:solidFill>
              <w14:schemeClr w14:val="tx1"/>
            </w14:solidFill>
          </w14:textFill>
        </w:rPr>
        <w:t>和</w:t>
      </w:r>
      <w:r>
        <w:rPr>
          <w:rFonts w:hint="eastAsia" w:ascii="宋体" w:hAnsi="宋体" w:eastAsia="宋体" w:cs="宋体"/>
          <w:color w:val="000000" w:themeColor="text1"/>
          <w:sz w:val="21"/>
          <w:szCs w:val="21"/>
          <w:lang w:val="en-US"/>
          <w14:textFill>
            <w14:solidFill>
              <w14:schemeClr w14:val="tx1"/>
            </w14:solidFill>
          </w14:textFill>
        </w:rPr>
        <w:t>应有的景观效果</w:t>
      </w:r>
      <w:r>
        <w:rPr>
          <w:rFonts w:hint="eastAsia" w:ascii="宋体" w:hAnsi="宋体" w:eastAsia="宋体" w:cs="宋体"/>
          <w:color w:val="000000" w:themeColor="text1"/>
          <w:sz w:val="21"/>
          <w:szCs w:val="21"/>
          <w14:textFill>
            <w14:solidFill>
              <w14:schemeClr w14:val="tx1"/>
            </w14:solidFill>
          </w14:textFill>
        </w:rPr>
        <w:t>；</w:t>
      </w:r>
    </w:p>
    <w:p>
      <w:pPr>
        <w:widowControl/>
        <w:snapToGrid w:val="0"/>
        <w:spacing w:line="500" w:lineRule="exact"/>
        <w:ind w:firstLine="420" w:firstLineChars="20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（2）特殊苗木采购：供应苗木并运至工程现场、支撑、养护（指定期限）全过程，并且要求苗木在指定期限结束交工时必须具备该苗木应有的景观效果。达到养护期限后核算成活率，以现场成活苗木核算货款。</w:t>
      </w:r>
    </w:p>
    <w:p>
      <w:pPr>
        <w:tabs>
          <w:tab w:val="left" w:pos="1260"/>
        </w:tabs>
        <w:spacing w:line="50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二、验收标准</w:t>
      </w:r>
    </w:p>
    <w:p>
      <w:pPr>
        <w:tabs>
          <w:tab w:val="left" w:pos="1260"/>
        </w:tabs>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1.春季花卉要求 3-5 月份持续开花。夏季花卉要求 6-8 月份持续开花。秋季花卉要求 9-11 月份持续开花。冬季花卉要求 12-2 月份持续开花。各季节花卉根据招标人分批要求的草花清单，清单中所有花卉其规格、品种必须符合招标人的要求，各类花卉造型应整齐、美观，无病无虫，长势良好，花色艳丽。 </w:t>
      </w:r>
    </w:p>
    <w:p>
      <w:pPr>
        <w:tabs>
          <w:tab w:val="left" w:pos="1260"/>
        </w:tabs>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2.乔木的验收质量标准：除采购特殊造型苗木外，一般要求树干挺直，不应有明显弯曲，小弯曲也不得超出两处，无蛀干害虫和未愈合的机械损伤。分枝点高度 2.5-2.8m。树冠丰满，枝条分布均匀、无严重病虫危害，常绿树叶色正常。根系发育良好、无严重病虫危害，移植时根系或土球大小，应为苗木胸径的 8-10 倍。 </w:t>
      </w:r>
    </w:p>
    <w:p>
      <w:pPr>
        <w:tabs>
          <w:tab w:val="left" w:pos="1260"/>
        </w:tabs>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3.灌木的验收质量标准：根系发达，生长茁壮，无严重病虫危害，灌丛匀称，枝条分布合理，高度不得低于 1.5m，丛生灌木枝条至少在 4-5 根以上，有主干的灌木主干应明显。 </w:t>
      </w:r>
    </w:p>
    <w:p>
      <w:pPr>
        <w:tabs>
          <w:tab w:val="left" w:pos="1260"/>
        </w:tabs>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4.绿篱苗的验收质量标准：苗木应树型丰满，枝叶茂密，发育正常，根系发达，无严重病虫危害。 </w:t>
      </w:r>
    </w:p>
    <w:p>
      <w:pPr>
        <w:tabs>
          <w:tab w:val="left" w:pos="1260"/>
        </w:tabs>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供应商提供的苗木须带土球，生长健壮，无病虫害，质量和规格符合规范要求，供应商须在签订合同前提供检疫部门的检疫证书，若不提供，招标单位有权不与其签订合同；大宗、高价苗木招标单位须在购买前到中标单位实地考察。土球包装：以钢卷尺或木制直尺测量包装体积，读数精确到 1 厘米。以现场验收为主，由招标单位提供技术人员现场指导修枝，吊装中不能损伤树皮及冠型。 </w:t>
      </w:r>
    </w:p>
    <w:p>
      <w:pPr>
        <w:tabs>
          <w:tab w:val="left" w:pos="1260"/>
        </w:tabs>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6.地径或胸径用钢卷尺测量，胸径在树高 1.2 米处量，地径在分根处高 10 厘米处测量，植株高和净干高读数精确到 1 厘米（苗木胸径取值采取四舍五入方式）。 </w:t>
      </w:r>
    </w:p>
    <w:p>
      <w:pPr>
        <w:tabs>
          <w:tab w:val="left" w:pos="1260"/>
        </w:tabs>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7.苗高：自地径至顶芽基部。 </w:t>
      </w:r>
    </w:p>
    <w:p>
      <w:pPr>
        <w:tabs>
          <w:tab w:val="left" w:pos="1260"/>
        </w:tabs>
        <w:spacing w:line="500" w:lineRule="exact"/>
        <w:ind w:firstLine="420"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除以上验收标准外，还须符合上文“</w:t>
      </w:r>
      <w:r>
        <w:rPr>
          <w:rFonts w:hint="eastAsia" w:ascii="宋体" w:hAnsi="宋体" w:eastAsia="宋体" w:cs="宋体"/>
          <w:b w:val="0"/>
          <w:bCs w:val="0"/>
          <w:color w:val="000000" w:themeColor="text1"/>
          <w:sz w:val="21"/>
          <w:szCs w:val="21"/>
          <w14:textFill>
            <w14:solidFill>
              <w14:schemeClr w14:val="tx1"/>
            </w14:solidFill>
          </w14:textFill>
        </w:rPr>
        <w:t>一、项目概述</w:t>
      </w:r>
      <w:r>
        <w:rPr>
          <w:rFonts w:hint="eastAsia" w:ascii="宋体" w:hAnsi="宋体" w:eastAsia="宋体" w:cs="宋体"/>
          <w:color w:val="000000" w:themeColor="text1"/>
          <w:sz w:val="21"/>
          <w:szCs w:val="21"/>
          <w14:textFill>
            <w14:solidFill>
              <w14:schemeClr w14:val="tx1"/>
            </w14:solidFill>
          </w14:textFill>
        </w:rPr>
        <w:t>”之“8.供货要求”的相关规定。</w:t>
      </w:r>
    </w:p>
    <w:p>
      <w:pPr>
        <w:tabs>
          <w:tab w:val="left" w:pos="1260"/>
        </w:tabs>
        <w:spacing w:line="50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三、售后服务要求</w:t>
      </w:r>
    </w:p>
    <w:p>
      <w:pPr>
        <w:tabs>
          <w:tab w:val="left" w:pos="1260"/>
        </w:tabs>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1.中标供应商必须承诺，如经检验不符合要求的，则货物将全部退回，一切费用由中标供应商负责。 </w:t>
      </w:r>
    </w:p>
    <w:p>
      <w:pPr>
        <w:tabs>
          <w:tab w:val="left" w:pos="1260"/>
        </w:tabs>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2.如在苗木或草花在供货期或使用期内发生质量问题，中标供应商在接到招标单位通知后 2 小时内响应，8小时内解决质量问题或更换备苗。</w:t>
      </w:r>
    </w:p>
    <w:p>
      <w:pPr>
        <w:snapToGrid w:val="0"/>
        <w:spacing w:line="500" w:lineRule="exact"/>
        <w:ind w:firstLine="420" w:firstLineChars="199"/>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四、投标人不得存在下列情形之一</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为招标人不具有独立法人资格的附属机构（单位）；</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被暂停或取消投标/参选资格的；</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被责令停产停业、暂扣或者吊销许可证、暂扣或者吊销执照； </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进入清算程序，或被宣告破产，或其他丧失履约能力的情形； </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在最近三年内有骗取中标/中选、严重违约、重大工程质量或者安全问题的（以国家行政监督部门公告为准）；</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在最近五年内被判处单位行贿罪，且行贿行为与采购活动相关的（以“中国裁判文书网”的生效判决为准）；</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在最近五年内被判处合同诈骗罪的（以“中国裁判文书网”的生效判决为准）；</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被最高人民法院认定为失信被执行人的(以“信用中国”网站（www.creditchina.gov.cn）或各级信用信息共享平台公布的失信被执行人名单为准)；</w:t>
      </w:r>
    </w:p>
    <w:p>
      <w:pPr>
        <w:numPr>
          <w:ilvl w:val="-1"/>
          <w:numId w:val="0"/>
        </w:numPr>
        <w:snapToGrid w:val="0"/>
        <w:spacing w:line="500" w:lineRule="exact"/>
        <w:ind w:left="0" w:leftChars="0" w:firstLine="422" w:firstLineChars="200"/>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履约保证金：</w:t>
      </w:r>
    </w:p>
    <w:p>
      <w:pPr>
        <w:snapToGrid w:val="0"/>
        <w:spacing w:line="500" w:lineRule="exact"/>
        <w:ind w:firstLine="420" w:firstLineChars="200"/>
        <w:jc w:val="both"/>
        <w:rPr>
          <w:rFonts w:hint="eastAsia" w:ascii="宋体" w:hAnsi="宋体" w:eastAsia="宋体" w:cs="宋体"/>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领取入围通知书之前</w:t>
      </w:r>
      <w:r>
        <w:rPr>
          <w:rFonts w:hint="eastAsia" w:ascii="宋体" w:hAnsi="宋体" w:eastAsia="宋体" w:cs="宋体"/>
          <w:color w:val="000000" w:themeColor="text1"/>
          <w:sz w:val="21"/>
          <w:szCs w:val="21"/>
          <w:highlight w:val="none"/>
          <w14:textFill>
            <w14:solidFill>
              <w14:schemeClr w14:val="tx1"/>
            </w14:solidFill>
          </w14:textFill>
        </w:rPr>
        <w:t>，入围单位须向采购单位缴纳年度履约保证金：</w:t>
      </w:r>
      <w:r>
        <w:rPr>
          <w:rFonts w:hint="eastAsia" w:ascii="宋体" w:hAnsi="宋体" w:eastAsia="宋体" w:cs="宋体"/>
          <w:color w:val="000000" w:themeColor="text1"/>
          <w:sz w:val="21"/>
          <w:szCs w:val="21"/>
          <w:highlight w:val="yellow"/>
          <w:lang w:val="en-US" w:eastAsia="zh-CN"/>
          <w14:textFill>
            <w14:solidFill>
              <w14:schemeClr w14:val="tx1"/>
            </w14:solidFill>
          </w14:textFill>
        </w:rPr>
        <w:t xml:space="preserve"> 20000</w:t>
      </w:r>
      <w:r>
        <w:rPr>
          <w:rFonts w:hint="eastAsia" w:ascii="宋体" w:hAnsi="宋体" w:eastAsia="宋体" w:cs="宋体"/>
          <w:color w:val="000000" w:themeColor="text1"/>
          <w:sz w:val="21"/>
          <w:szCs w:val="21"/>
          <w:highlight w:val="yellow"/>
          <w14:textFill>
            <w14:solidFill>
              <w14:schemeClr w14:val="tx1"/>
            </w14:solidFill>
          </w14:textFill>
        </w:rPr>
        <w:t>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auto"/>
          <w:sz w:val="21"/>
          <w:szCs w:val="21"/>
          <w:highlight w:val="none"/>
        </w:rPr>
        <w:t>中标人履约期满，履约保证金（或履约保函）在</w:t>
      </w:r>
      <w:r>
        <w:rPr>
          <w:rFonts w:hint="eastAsia" w:ascii="宋体" w:hAnsi="宋体" w:eastAsia="宋体" w:cs="宋体"/>
          <w:b w:val="0"/>
          <w:bCs w:val="0"/>
          <w:color w:val="auto"/>
          <w:sz w:val="21"/>
          <w:szCs w:val="21"/>
          <w:highlight w:val="none"/>
          <w:lang w:eastAsia="zh-CN"/>
        </w:rPr>
        <w:t>所承接的</w:t>
      </w:r>
      <w:r>
        <w:rPr>
          <w:rFonts w:hint="eastAsia" w:ascii="宋体" w:hAnsi="宋体" w:eastAsia="宋体" w:cs="宋体"/>
          <w:b w:val="0"/>
          <w:bCs w:val="0"/>
          <w:color w:val="auto"/>
          <w:sz w:val="21"/>
          <w:szCs w:val="21"/>
          <w:highlight w:val="none"/>
        </w:rPr>
        <w:t>具体业务</w:t>
      </w:r>
      <w:r>
        <w:rPr>
          <w:rFonts w:hint="eastAsia" w:ascii="宋体" w:hAnsi="宋体" w:eastAsia="宋体" w:cs="宋体"/>
          <w:b w:val="0"/>
          <w:bCs w:val="0"/>
          <w:color w:val="auto"/>
          <w:sz w:val="21"/>
          <w:szCs w:val="21"/>
          <w:highlight w:val="none"/>
          <w:lang w:eastAsia="zh-CN"/>
        </w:rPr>
        <w:t>全部</w:t>
      </w:r>
      <w:r>
        <w:rPr>
          <w:rFonts w:hint="eastAsia" w:ascii="宋体" w:hAnsi="宋体" w:eastAsia="宋体" w:cs="宋体"/>
          <w:b w:val="0"/>
          <w:bCs w:val="0"/>
          <w:color w:val="auto"/>
          <w:sz w:val="21"/>
          <w:szCs w:val="21"/>
          <w:highlight w:val="none"/>
        </w:rPr>
        <w:t>履行完毕且验收合格后无息退还（若有违约，则按合同约定或依法定认定的金额予以扣除）。</w:t>
      </w:r>
    </w:p>
    <w:p>
      <w:pPr>
        <w:snapToGrid w:val="0"/>
        <w:spacing w:line="500" w:lineRule="exact"/>
        <w:ind w:firstLine="422" w:firstLineChars="200"/>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、苗木款（或苗木工程款）的结算与支付</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1.具体付款方式在每个单项项目的实施合同中另行约定。</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2.支付方式包括但不限于汇票、银行转账、支票，具体按</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经批准的核付程序执行。</w:t>
      </w:r>
    </w:p>
    <w:bookmarkEnd w:id="7"/>
    <w:bookmarkEnd w:id="8"/>
    <w:bookmarkEnd w:id="9"/>
    <w:p>
      <w:pPr>
        <w:pStyle w:val="27"/>
        <w:rPr>
          <w:rFonts w:hint="eastAsia" w:ascii="宋体" w:hAnsi="宋体" w:eastAsia="宋体" w:cs="宋体"/>
          <w:color w:val="000000" w:themeColor="text1"/>
          <w:sz w:val="21"/>
          <w:szCs w:val="21"/>
          <w:lang w:val="en-US"/>
          <w14:textFill>
            <w14:solidFill>
              <w14:schemeClr w14:val="tx1"/>
            </w14:solidFill>
          </w14:textFill>
        </w:rPr>
      </w:pPr>
    </w:p>
    <w:p>
      <w:pPr>
        <w:rPr>
          <w:rFonts w:hint="eastAsia" w:ascii="宋体" w:hAnsi="宋体" w:eastAsia="宋体" w:cs="宋体"/>
          <w:b/>
          <w:bCs/>
          <w:color w:val="000000" w:themeColor="text1"/>
          <w:sz w:val="21"/>
          <w:szCs w:val="21"/>
          <w14:textFill>
            <w14:solidFill>
              <w14:schemeClr w14:val="tx1"/>
            </w14:solidFill>
          </w14:textFill>
        </w:rPr>
      </w:pPr>
    </w:p>
    <w:p>
      <w:pPr>
        <w:pStyle w:val="4"/>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10" w:name="_Toc1503"/>
      <w:r>
        <w:rPr>
          <w:rFonts w:hint="eastAsia" w:ascii="宋体" w:hAnsi="宋体" w:eastAsia="宋体" w:cs="宋体"/>
          <w:color w:val="000000" w:themeColor="text1"/>
          <w:sz w:val="28"/>
          <w:szCs w:val="28"/>
          <w14:textFill>
            <w14:solidFill>
              <w14:schemeClr w14:val="tx1"/>
            </w14:solidFill>
          </w14:textFill>
        </w:rPr>
        <w:t>第三章 投标人须知</w:t>
      </w:r>
      <w:bookmarkEnd w:id="10"/>
    </w:p>
    <w:p>
      <w:pPr>
        <w:pStyle w:val="4"/>
        <w:spacing w:line="500" w:lineRule="exact"/>
        <w:jc w:val="center"/>
        <w:rPr>
          <w:rFonts w:hint="eastAsia" w:ascii="宋体" w:hAnsi="宋体" w:eastAsia="宋体" w:cs="宋体"/>
          <w:color w:val="000000" w:themeColor="text1"/>
          <w:sz w:val="28"/>
          <w:szCs w:val="28"/>
          <w14:textFill>
            <w14:solidFill>
              <w14:schemeClr w14:val="tx1"/>
            </w14:solidFill>
          </w14:textFill>
        </w:rPr>
      </w:pPr>
      <w:bookmarkStart w:id="11" w:name="_Toc28479"/>
      <w:r>
        <w:rPr>
          <w:rFonts w:hint="eastAsia" w:ascii="宋体" w:hAnsi="宋体" w:eastAsia="宋体" w:cs="宋体"/>
          <w:color w:val="000000" w:themeColor="text1"/>
          <w:sz w:val="28"/>
          <w:szCs w:val="28"/>
          <w14:textFill>
            <w14:solidFill>
              <w14:schemeClr w14:val="tx1"/>
            </w14:solidFill>
          </w14:textFill>
        </w:rPr>
        <w:t>前附表</w:t>
      </w:r>
      <w:bookmarkEnd w:id="11"/>
    </w:p>
    <w:tbl>
      <w:tblPr>
        <w:tblStyle w:val="19"/>
        <w:tblW w:w="9728"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90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9003" w:type="dxa"/>
            <w:tcBorders>
              <w:top w:val="single" w:color="auto" w:sz="4" w:space="0"/>
              <w:left w:val="single" w:color="auto" w:sz="4" w:space="0"/>
              <w:bottom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项目名称：金华市金婺实业有限公司关于2022-2023年度苗木供应单位选定项目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9003" w:type="dxa"/>
            <w:tcBorders>
              <w:top w:val="single" w:color="auto" w:sz="4" w:space="0"/>
              <w:left w:val="single" w:color="auto" w:sz="4" w:space="0"/>
              <w:bottom w:val="single" w:color="auto" w:sz="4" w:space="0"/>
            </w:tcBorders>
            <w:vAlign w:val="center"/>
          </w:tcPr>
          <w:p>
            <w:pPr>
              <w:snapToGrid w:val="0"/>
              <w:spacing w:line="42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投标报价及费用：</w:t>
            </w:r>
          </w:p>
          <w:p>
            <w:pPr>
              <w:snapToGrid w:val="0"/>
              <w:spacing w:line="42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1.本项目投标应以人民币报价；</w:t>
            </w:r>
          </w:p>
          <w:p>
            <w:pPr>
              <w:snapToGrid w:val="0"/>
              <w:spacing w:line="42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2.不论投标结果如何，投标人均应自行承担所有与投标有关的全部费用；</w:t>
            </w:r>
          </w:p>
          <w:p>
            <w:pPr>
              <w:snapToGrid w:val="0"/>
              <w:spacing w:line="420" w:lineRule="exac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3.各投标人取得中标资格后，各中标（入围）服务单位须分别向招标代理机构支付</w:t>
            </w:r>
            <w:r>
              <w:rPr>
                <w:rFonts w:hint="eastAsia" w:ascii="宋体" w:hAnsi="宋体" w:eastAsia="宋体" w:cs="宋体"/>
                <w:b/>
                <w:bCs/>
                <w:color w:val="000000" w:themeColor="text1"/>
                <w:sz w:val="21"/>
                <w:szCs w:val="21"/>
                <w:lang w:val="en-US" w:eastAsia="zh-CN"/>
                <w14:textFill>
                  <w14:solidFill>
                    <w14:schemeClr w14:val="tx1"/>
                  </w14:solidFill>
                </w14:textFill>
              </w:rPr>
              <w:t>1000元</w:t>
            </w:r>
            <w:r>
              <w:rPr>
                <w:rFonts w:hint="eastAsia" w:ascii="宋体" w:hAnsi="宋体" w:eastAsia="宋体" w:cs="宋体"/>
                <w:b/>
                <w:bCs/>
                <w:color w:val="000000" w:themeColor="text1"/>
                <w:sz w:val="21"/>
                <w:szCs w:val="21"/>
                <w14:textFill>
                  <w14:solidFill>
                    <w14:schemeClr w14:val="tx1"/>
                  </w14:solidFill>
                </w14:textFill>
              </w:rPr>
              <w:t>的采购代理服务费，中标人在收到</w:t>
            </w:r>
            <w:r>
              <w:rPr>
                <w:rFonts w:hint="eastAsia" w:ascii="宋体" w:hAnsi="宋体" w:eastAsia="宋体" w:cs="宋体"/>
                <w:b/>
                <w:bCs/>
                <w:color w:val="000000" w:themeColor="text1"/>
                <w:sz w:val="21"/>
                <w:szCs w:val="21"/>
                <w:lang w:eastAsia="zh-CN"/>
                <w14:textFill>
                  <w14:solidFill>
                    <w14:schemeClr w14:val="tx1"/>
                  </w14:solidFill>
                </w14:textFill>
              </w:rPr>
              <w:t>入围通知书</w:t>
            </w:r>
            <w:r>
              <w:rPr>
                <w:rFonts w:hint="eastAsia" w:ascii="宋体" w:hAnsi="宋体" w:eastAsia="宋体" w:cs="宋体"/>
                <w:b/>
                <w:bCs/>
                <w:color w:val="000000" w:themeColor="text1"/>
                <w:sz w:val="21"/>
                <w:szCs w:val="21"/>
                <w14:textFill>
                  <w14:solidFill>
                    <w14:schemeClr w14:val="tx1"/>
                  </w14:solidFill>
                </w14:textFill>
              </w:rPr>
              <w:t>的同时向招标代理机构以银行转账等形式支付招标代理服务费：户名：金华市天盈财务咨询有限公司    开户银行：金华银行股份有限公司多湖支行  银行账号：0188990822000064。（汇款用途请注明“招标代理服务费”及项目编号 ：</w:t>
            </w:r>
            <w:r>
              <w:rPr>
                <w:rFonts w:hint="eastAsia" w:ascii="宋体" w:hAnsi="宋体" w:eastAsia="宋体" w:cs="宋体"/>
                <w:b/>
                <w:bCs/>
                <w:color w:val="000000" w:themeColor="text1"/>
                <w:sz w:val="21"/>
                <w:szCs w:val="21"/>
                <w:lang w:val="en-US" w:eastAsia="zh-CN"/>
                <w14:textFill>
                  <w14:solidFill>
                    <w14:schemeClr w14:val="tx1"/>
                  </w14:solidFill>
                </w14:textFill>
              </w:rPr>
              <w:t>68</w:t>
            </w:r>
            <w:r>
              <w:rPr>
                <w:rFonts w:hint="eastAsia" w:hAnsi="宋体" w:cs="宋体"/>
                <w:b/>
                <w:bCs/>
                <w:color w:val="000000" w:themeColor="text1"/>
                <w:sz w:val="21"/>
                <w:szCs w:val="21"/>
                <w:lang w:val="en-US" w:eastAsia="zh-CN"/>
                <w14:textFill>
                  <w14:solidFill>
                    <w14:schemeClr w14:val="tx1"/>
                  </w14:solidFill>
                </w14:textFill>
              </w:rPr>
              <w:t>0</w:t>
            </w:r>
            <w:r>
              <w:rPr>
                <w:rFonts w:hint="eastAsia" w:ascii="宋体" w:hAnsi="宋体" w:eastAsia="宋体" w:cs="宋体"/>
                <w:b/>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9003" w:type="dxa"/>
            <w:tcBorders>
              <w:top w:val="single" w:color="auto" w:sz="4" w:space="0"/>
              <w:left w:val="single" w:color="auto" w:sz="4" w:space="0"/>
              <w:bottom w:val="single" w:color="auto" w:sz="4" w:space="0"/>
            </w:tcBorders>
            <w:vAlign w:val="center"/>
          </w:tcPr>
          <w:p>
            <w:pPr>
              <w:autoSpaceDE/>
              <w:autoSpaceDN/>
              <w:adjustRightInd/>
              <w:snapToGrid w:val="0"/>
              <w:spacing w:line="46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9003" w:type="dxa"/>
            <w:tcBorders>
              <w:top w:val="single" w:color="auto" w:sz="4" w:space="0"/>
              <w:left w:val="single" w:color="auto" w:sz="4" w:space="0"/>
              <w:bottom w:val="single" w:color="auto" w:sz="4" w:space="0"/>
            </w:tcBorders>
            <w:vAlign w:val="center"/>
          </w:tcPr>
          <w:p>
            <w:pPr>
              <w:autoSpaceDE/>
              <w:autoSpaceDN/>
              <w:adjustRightInd/>
              <w:snapToGrid w:val="0"/>
              <w:spacing w:line="46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答疑与澄清：投标单位如认为招选文件表述不清晰，存在歧视性、排他性或者其他违法内容的，应当于开标截止时间3日前，以书面形式要求招标采购单位作出书面解释、澄清或者向招标采购单位提出书面质疑；招标采购单位将于开标截止时间3日前答疑；因其他紧急情况影响本项目正常招选活动的，招标采购单位将于开标截止日期3日前书面通知所有已报名的投标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9003"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投标文件组成：技术商务标正本一份，副本四份。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投标截止时间及地点：</w:t>
            </w:r>
            <w:r>
              <w:rPr>
                <w:rFonts w:hint="eastAsia" w:ascii="宋体" w:hAnsi="宋体" w:eastAsia="宋体" w:cs="宋体"/>
                <w:b w:val="0"/>
                <w:bCs w:val="0"/>
                <w:color w:val="000000" w:themeColor="text1"/>
                <w:sz w:val="21"/>
                <w:szCs w:val="21"/>
                <w:highlight w:val="none"/>
                <w14:textFill>
                  <w14:solidFill>
                    <w14:schemeClr w14:val="tx1"/>
                  </w14:solidFill>
                </w14:textFill>
              </w:rPr>
              <w:t>2022年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月</w:t>
            </w:r>
            <w:r>
              <w:rPr>
                <w:rFonts w:hint="eastAsia"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09 点30分</w:t>
            </w:r>
            <w:r>
              <w:rPr>
                <w:rFonts w:hint="eastAsia" w:ascii="宋体" w:hAnsi="宋体" w:eastAsia="宋体" w:cs="宋体"/>
                <w:color w:val="000000" w:themeColor="text1"/>
                <w:sz w:val="21"/>
                <w:szCs w:val="21"/>
                <w14:textFill>
                  <w14:solidFill>
                    <w14:schemeClr w14:val="tx1"/>
                  </w14:solidFill>
                </w14:textFill>
              </w:rPr>
              <w:t>，金华市天盈财务咨询有限公司开标室（金华市创新街18号南楼四楼，农科教大楼西侧对面）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开标时间：</w:t>
            </w:r>
            <w:r>
              <w:rPr>
                <w:rFonts w:hint="eastAsia" w:ascii="宋体" w:hAnsi="宋体" w:eastAsia="宋体" w:cs="宋体"/>
                <w:b w:val="0"/>
                <w:bCs w:val="0"/>
                <w:color w:val="000000" w:themeColor="text1"/>
                <w:sz w:val="21"/>
                <w:szCs w:val="21"/>
                <w:highlight w:val="none"/>
                <w14:textFill>
                  <w14:solidFill>
                    <w14:schemeClr w14:val="tx1"/>
                  </w14:solidFill>
                </w14:textFill>
              </w:rPr>
              <w:t>2022年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月</w:t>
            </w:r>
            <w:r>
              <w:rPr>
                <w:rFonts w:hint="eastAsia"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09 点30分</w:t>
            </w:r>
          </w:p>
          <w:p>
            <w:pPr>
              <w:snapToGrid w:val="0"/>
              <w:spacing w:line="4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开标地点：金华市天盈财务咨询有限公司开标室（金华市创新街18号南楼四楼，农科教大楼西侧对面）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9003"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9</w:t>
            </w:r>
          </w:p>
        </w:tc>
        <w:tc>
          <w:tcPr>
            <w:tcW w:w="9003"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履约保证金：领取入围通知书之前，入围单位须向采购单位缴纳年度履约保证金： 20000元。中标人履约期满，履约保证金（或履约保函）在所承接的具体业务全部履行完毕且验收合格后无息退还（若有违约，则按合同约定或依法定认定的金额予以扣除）。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10</w:t>
            </w:r>
          </w:p>
        </w:tc>
        <w:tc>
          <w:tcPr>
            <w:tcW w:w="9003"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结果公示：</w:t>
            </w:r>
            <w:r>
              <w:rPr>
                <w:rFonts w:hint="eastAsia" w:ascii="宋体" w:hAnsi="宋体" w:eastAsia="宋体" w:cs="宋体"/>
                <w:color w:val="auto"/>
                <w:sz w:val="21"/>
                <w:szCs w:val="21"/>
                <w:highlight w:val="none"/>
              </w:rPr>
              <w:t>婺城区城投集团(http://www.jhwcct.com/)</w:t>
            </w:r>
            <w:r>
              <w:rPr>
                <w:rFonts w:hint="eastAsia"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11</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12</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解释：本招标文件的解释权属于招标采购单位。</w:t>
            </w:r>
          </w:p>
        </w:tc>
      </w:tr>
    </w:tbl>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一、总  则</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 适用范围</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本招标文件适用于金华市金婺实业有限公司关于2022-2023年度苗木供应单位选定项目的招标、投标、评标、定标、验收、合同履约、付款等行为（法律、法规另有规定的，从其规定）。</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（二）定义</w:t>
      </w:r>
    </w:p>
    <w:p>
      <w:pPr>
        <w:autoSpaceDE/>
        <w:autoSpaceDN/>
        <w:snapToGrid w:val="0"/>
        <w:spacing w:line="500" w:lineRule="exact"/>
        <w:ind w:firstLine="420"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1.招标采购单位系指组织本次招标的代理机构金华市天盈财务咨询有限公司和采购单位金华市金婺实业有限公司（又称“招标人”或“采购单位”）。</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2.“投标人”系指向招标人或招标代理机构提交投标文件的单位或个人，本次招标对合格投标人的具体要求见招标公告。</w:t>
      </w:r>
    </w:p>
    <w:p>
      <w:pPr>
        <w:widowControl/>
        <w:autoSpaceDE/>
        <w:autoSpaceDN/>
        <w:adjustRightInd/>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3.“货物”系指招标文件规定或合同约定投标人须向采购人提供的与完成委托项目所需的一切苗木/苗圃、设备、机械、仪器仪表、工具及其它有关技术资料和文字材料。</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4.“服务” 系指中标人受金华市金婺实业有限公司委托须提供的苗木供应服务以及有关的伴随服务。</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5.“项目”系指投标人按招标文件规定或合同约定向招标人提供的货物和服务。</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6.“书面形式”包括信函、传真、电报等。</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7.“★”系指实质性要求条款。</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（三）招标方式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本次招标采用公开招选方式进行。</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（四）投标委托</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投标人代表须携带有效身份证件。如投标人代表不是法定代表人，须有法定代表人出具的授权委托书（正本用原件，副本用复印件）。</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（五）投标费用</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不论投标结果如何，投标人均应自行承担所有与投标有关的全部费用（招标文件有相反规定除外）。</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（六）知识产权</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须保证，招标人在中华人民共和国境内使用投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招标人损失的，投标人须承担全部赔偿责任。</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2.所有投标文件不论中标与否均不退还。</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在招标过程中，本项目由招标人提供的所有基础资料（包括文字、图纸、电子数据）的版权均受法律保护，投标人应按国家要求做好所有基础资料的保密工作，除为本项目本身使用外，不做其他用途，任何未经招标人同意的修改、拷贝、传播、公开发布等行为都将承担由此引起的一切经济、法律责任。</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（七）联合体投标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1.本项目不接受联合体形式投标。</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（八）转包与分包</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1.本项目不允许转包。</w:t>
      </w:r>
    </w:p>
    <w:p>
      <w:pPr>
        <w:pStyle w:val="2"/>
        <w:snapToGrid w:val="0"/>
        <w:spacing w:after="0" w:line="500" w:lineRule="exact"/>
        <w:ind w:left="0"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2.未经招标人同意，本项目不允许分包。</w:t>
      </w:r>
    </w:p>
    <w:p>
      <w:pPr>
        <w:pStyle w:val="2"/>
        <w:snapToGrid w:val="0"/>
        <w:spacing w:after="0" w:line="500" w:lineRule="exact"/>
        <w:ind w:left="0" w:leftChars="0" w:firstLine="422"/>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（九）现场考察</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本项目无需进行现场考察。</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（十）特别说明：</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sz w:val="21"/>
          <w:szCs w:val="21"/>
          <w:highlight w:val="none"/>
        </w:rPr>
        <w:t>投标单位负责人为同一人或者存在直接控股、管理关系的不同投标人，不得参加同一合同项下的政府采购活动。如在评标过程（或标后质疑投诉期内）中发现投标人间存在上述关系，存在上述关系的全部投标人均做无效投标（或无效中标）处理。</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2.投标人投标所使用的资格、信誉、荣誉、业绩与企业认证必须为本法人所拥有。投标人投标所使用的项目实施人员必须为本法人员工（或必须为本法人或控股公司正式员工）。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应仔细阅读招标文件的所有内容，按照招标文件的要求提交投标文件。投标人必须对投标文件所提供的全部资料的真实性承担法律责任，并无条件接受招标代理机构、招标人及监督管理部门等对其中任何资料进行核实的要求。</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5.为保证招标工作的顺利进行，投标人不得无故放弃投标。如有特殊情况不能参加投标的，需在投标截止时间前，以书面的形式向招标人陈述理由。</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（十一）质疑和投诉</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1.投标人认为招标文件、招标过程或中标结果使自己的合法权益受到损害的，应当在知道或者应知其权益受到损害之日起七个工作日内，以书面形式向招标人、采购代理机构提出质疑。</w:t>
      </w:r>
    </w:p>
    <w:p>
      <w:pPr>
        <w:autoSpaceDE/>
        <w:autoSpaceDN/>
        <w:snapToGrid w:val="0"/>
        <w:spacing w:line="500" w:lineRule="exact"/>
        <w:ind w:firstLine="42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 、招标文件</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（一）招标文件的构成。本招标文件由以下部分组成：</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1.公开招选公告</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2.招标需求</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3.投标人须知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4.评标办法及标准</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5.合同主要条款</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6.投标文件格式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7.本项目招标文件的澄清、答复、修改、补充的内容（如有）</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（二）投标人的风险</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投标人没有按照招标文件要求提供全部资料，或者投标人没有对招标文件在各方面作出实质性响应是投标人的风险，并可能导致其投标被拒绝。</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招标人、招标代理机构不保证所有已完成报名的投标人都符合资格要求。</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 xml:space="preserve">（三）招标文件的澄清与修改 </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答疑与澄清：投标单位如认为招选文件表述不清晰，存在歧视性、排他性或者其他违法内容的，应当于开标截止时间3日前，以书面形式要求招标采购单位作出书面解释、澄清或者向招标采购单位提出书面质疑；招标采购单位将于开标截止时间3日前答疑；因其他紧急情况影响本项目正常招选活动的，招标采购单位将于开标截止日期3日前书面通知所有已报名的投标单位。</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2.招标代理机构必须以书面形式答复投标人要求澄清的问题，并将不包含问题来源的答复书面通知所有购买招标文件的投标人；除书面答复以外的其他澄清方式及澄清内容均无效。</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4.招标文件的澄清、答复、修改或补充都应该通过本代理机构以法定形式发布，招标人非通过本机构，不得擅自澄清、答复、修改或补充招标文件。</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三、投标文件的编制</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（一）投标文件的组成</w:t>
      </w:r>
    </w:p>
    <w:p>
      <w:pPr>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投标文件由技术商务标组成，须装订成册，进行密封，内容如下：</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1.法定代表人资格证明书及法定代表人授权委托书 （由法定代表人直接参加投标并对相应文件签署的，只需提供前者 ）；（格式见附件）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2.符合参加本项目采购活动应当具备的资格条件的承诺函；（格式见附件） </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3.投标单位基本情况表（格式见附件）；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4.营业执照副本</w:t>
      </w:r>
      <w:r>
        <w:rPr>
          <w:rFonts w:hint="eastAsia" w:ascii="宋体" w:hAnsi="宋体" w:eastAsia="宋体" w:cs="宋体"/>
          <w:color w:val="000000" w:themeColor="text1"/>
          <w:sz w:val="21"/>
          <w:szCs w:val="21"/>
          <w:lang w:val="en-US" w:eastAsia="zh-CN"/>
          <w14:textFill>
            <w14:solidFill>
              <w14:schemeClr w14:val="tx1"/>
            </w14:solidFill>
          </w14:textFill>
        </w:rPr>
        <w:t>等</w:t>
      </w:r>
      <w:r>
        <w:rPr>
          <w:rFonts w:hint="eastAsia" w:ascii="宋体" w:hAnsi="宋体" w:eastAsia="宋体" w:cs="宋体"/>
          <w:color w:val="000000" w:themeColor="text1"/>
          <w:sz w:val="21"/>
          <w:szCs w:val="21"/>
          <w14:textFill>
            <w14:solidFill>
              <w14:schemeClr w14:val="tx1"/>
            </w14:solidFill>
          </w14:textFill>
        </w:rPr>
        <w:t>相关证书；</w:t>
      </w:r>
    </w:p>
    <w:p>
      <w:pPr>
        <w:widowControl/>
        <w:autoSpaceDE/>
        <w:autoSpaceDN/>
        <w:snapToGrid w:val="0"/>
        <w:spacing w:line="500" w:lineRule="exact"/>
        <w:ind w:left="415" w:leftChars="12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5.承诺函（格式见附件）；</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6.响应函（格式见附件）；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7.20</w:t>
      </w:r>
      <w:r>
        <w:rPr>
          <w:rFonts w:hint="eastAsia" w:ascii="宋体" w:hAnsi="宋体" w:eastAsia="宋体" w:cs="宋体"/>
          <w:color w:val="000000" w:themeColor="text1"/>
          <w:sz w:val="21"/>
          <w:szCs w:val="21"/>
          <w:lang w:val="en-US" w:eastAsia="zh-CN"/>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t>年1月1日至今承接同类项目清单（格式见附件）；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8.服务条款偏离表（格式见附件）；</w:t>
      </w:r>
    </w:p>
    <w:p>
      <w:pPr>
        <w:widowControl/>
        <w:autoSpaceDE/>
        <w:autoSpaceDN/>
        <w:adjustRightInd/>
        <w:spacing w:line="5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9.根据标项评分因素须提供的相关材料：如</w:t>
      </w:r>
      <w:r>
        <w:rPr>
          <w:rFonts w:hint="eastAsia" w:ascii="宋体" w:hAnsi="宋体" w:eastAsia="宋体" w:cs="宋体"/>
          <w:color w:val="000000" w:themeColor="text1"/>
          <w:sz w:val="21"/>
          <w:szCs w:val="21"/>
          <w:highlight w:val="none"/>
          <w:lang w:val="en-US" w:eastAsia="zh-CN"/>
          <w14:textFill>
            <w14:solidFill>
              <w14:schemeClr w14:val="tx1"/>
            </w14:solidFill>
          </w14:textFill>
        </w:rPr>
        <w:t>企业状况、企业管理水平、技术力量配备、</w:t>
      </w:r>
      <w:r>
        <w:rPr>
          <w:rFonts w:hint="eastAsia" w:ascii="宋体" w:hAnsi="宋体" w:eastAsia="宋体" w:cs="宋体"/>
          <w:color w:val="000000" w:themeColor="text1"/>
          <w:sz w:val="21"/>
          <w:szCs w:val="21"/>
          <w14:textFill>
            <w14:solidFill>
              <w14:schemeClr w14:val="tx1"/>
            </w14:solidFill>
          </w14:textFill>
        </w:rPr>
        <w:t>养护的合理化建议、提供苗木的响应速度及突发事件处置方案等（投标人须按照评分因素的先后顺序放置相关材料）；</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10.评分规则中涉及的所需提供的资料、投标人</w:t>
      </w:r>
      <w:r>
        <w:rPr>
          <w:rFonts w:hint="eastAsia" w:hAnsi="宋体" w:cs="宋体"/>
          <w:color w:val="000000" w:themeColor="text1"/>
          <w:sz w:val="21"/>
          <w:szCs w:val="21"/>
          <w:lang w:eastAsia="zh-CN"/>
          <w14:textFill>
            <w14:solidFill>
              <w14:schemeClr w14:val="tx1"/>
            </w14:solidFill>
          </w14:textFill>
        </w:rPr>
        <w:t>认为</w:t>
      </w:r>
      <w:r>
        <w:rPr>
          <w:rFonts w:hint="eastAsia" w:ascii="宋体" w:hAnsi="宋体" w:eastAsia="宋体" w:cs="宋体"/>
          <w:color w:val="000000" w:themeColor="text1"/>
          <w:sz w:val="21"/>
          <w:szCs w:val="21"/>
          <w14:textFill>
            <w14:solidFill>
              <w14:schemeClr w14:val="tx1"/>
            </w14:solidFill>
          </w14:textFill>
        </w:rPr>
        <w:t>需要说明的其他文件和说明。</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（二）投标文件的语言及计量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1.投标文件以及投标方与招标人就有关投标事宜的所有来往函电，均应以中文汉语书写。除签名、盖章、专用名称等特殊情形外，以中文汉语以外的文字表述的投标文件视同未提供。</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2.投标计量单位，招标文件已有明确规定的，使用招标文件规定的计量单位；招标文件没有规定的，应采用中华人民共和国法定计量单位（货币单位：人民币元），否则视同未响应。</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（三）投标文件的有效期</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★1.自投标截止日起90天投标文件应保持有效。有效期不足的投标文件将被拒绝。</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2.在特殊情况下，招标人可与投标人协商延长投标书的有效期，这种要求和答复均以书面形式进行。</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3.投标人可拒绝接受延期要求。同意延长有效期的投标人不能以此为由修改投标文件。 </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4.中标人的投标文件自开标之日起至合同履行完毕止均应保持有效。</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（四）投标文件的签署和份数</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1.投标人应按本招标文件规定的格式和顺序编制、装订投标文件并标注页码，投标文件内容不完整、编排混乱导致投标文件被误读、漏读或者查找不到相关内容的，是投标人的责任。</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2.投标人应按技术商务标正本一份，副本四份编制并单独装订成册，投标文件的封面应注明“正本”、“副本”字样。活页装订的投标文件将被拒绝。</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3.投标文件的正本需打印或用不褪色的墨水填写，投标文件正本除本《投标人须知》中规定的可提供复印件外均须提供原件，副本为正本的复印件。</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4.投标文件须由投标人在规定位置盖章并由法定代表人或法定代表人的授权委托人签署，投标人应写全称。</w:t>
      </w:r>
    </w:p>
    <w:p>
      <w:pPr>
        <w:autoSpaceDE/>
        <w:autoSpaceDN/>
        <w:snapToGrid w:val="0"/>
        <w:spacing w:line="500" w:lineRule="exact"/>
        <w:ind w:firstLine="420"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5.投标文件不得涂改，若有修改错漏处，须加盖单位公章或者由法定代表人签字或盖章或由法定代表人的授权委托人签字或盖章。投标文件因字迹潦草或表达不清所引起的后果由投标人负责。</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（五）投标文件的包装、递交、修改和撤回</w:t>
      </w:r>
    </w:p>
    <w:p>
      <w:pPr>
        <w:autoSpaceDE/>
        <w:autoSpaceDN/>
        <w:adjustRightInd/>
        <w:spacing w:line="500" w:lineRule="exact"/>
        <w:ind w:firstLine="422" w:firstLineChars="200"/>
        <w:jc w:val="both"/>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投标人应按技术商务标密封封装投标文件，投标文件的包装封面上应注明投标人名称、投标人地址、投标文件名称（技术商务标）、投标项目名称、项目编号及“在*年*月*日*时*分之前不得启封”字样，并加盖投标人公章。</w:t>
      </w:r>
    </w:p>
    <w:p>
      <w:pPr>
        <w:autoSpaceDE/>
        <w:autoSpaceDN/>
        <w:adjustRightInd/>
        <w:spacing w:line="5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2.未按规定密封或标记的投标文件将被拒绝，由此造成投标文件被误投或提前拆封的风险由投标人承担。</w:t>
      </w:r>
    </w:p>
    <w:p>
      <w:pPr>
        <w:autoSpaceDE/>
        <w:autoSpaceDN/>
        <w:spacing w:line="5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在投标截止时间之前，可以对已提交的投标文件进行修改或撤回，并书面通知招标采购单位修改后重新递交的投标文件应当按本招标文件的要求签署、盖章和密封。投标截止时间后，投标人不得撤回、修改投标文件。</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）投标无效的情形</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1.在符合性审查和商务评审时，如发现下列情形之一的，投标文件将被视为无效：</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（1）资格证明文件不全的，或者不符合招标文件标明的资格要求的；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（2）投标文件无投标人的法定代表人或其授权代表签字,或未提供法定代表人授权委托书；</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（3）投标文件未按招标文件要求签署、盖章的；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（4）投标代表人未能出具身份证明或与法定代表人授权委托人身份不符的； </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（5）投标文件格式不规范、项目不齐全或者内容虚假的；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（6）投标文件的实质性内容未使用中文表述、意思表述不明确、前后矛盾或者使用计量单位不符合招标文件要求的（经评标委员会认定并允许其当场更正的笔误除外）；</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（7）投标有效期、服务期等条款不能满足招标文件要求的；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（8）未实质性响应招标文件要求或者投标文件有招标人不能接受的附加条件的。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2.在技术评审时，如发现下列情形之一的，投标文件将被视为无效：</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（1）不符合法律、法规和招标文件中规定的其他实质性要求的（评标委员会一致认定）的；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（2）明显不符合招标文件服务要求、服务质量标准，或者与招标文件中标“★”的服务要求项目发生实质性偏离的；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（3）服务计划书中的服务方案不明确，存在一个或一个以上备选（替代）投标方案的；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（4）与其他参加本次投标供应商的投标文件（技术文件）的文字表述内容相同连续20行以上或者差错相同2处以上的。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（5）提供不真实材料的；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（6）法律、法规、规章等规定的其他情形。</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3.被拒绝的投标文件为无效投标文件。</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四、开标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（一）开标准备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招标代理机构将在规定的时间和地点进行开标，投标人的法定代表人或其授权代表应参加开标会并签到。投标人的法定代表人或其授权代表未按时签到的，视同放弃开标监督权利、认可开标结果。</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 开标程序：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1.开标会由招标代理机构主持，主持人宣布开标会议开始；</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2.主持人介绍参加开标会的人员名单； </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3.主持人宣布评标期间的有关事项，告知应当回避的情形,提请有关人员回避；</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4.投标人或其当场推荐的代表，或者招标采购单位的监标人检查投标文件密封的完整性并签字确认；</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5.按各投标人提交投标文件时间的先后顺序打开技术商务标文件外包装，清点投标文件正本、副本数量，符合招标文件要求的送评标室评审；不符合要求的，当场退还投标人，并由投标人代表签字确认；</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6.技术商务标评审结束后，由主持人公布无效投标的投标人名单、投标无效的原因及其他有效投标的评审结果；</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7.招标代理机构做开标记录, 投标人代表对开标记录进行当场校核及勘误，并签字确认；同时由记录人、监督人当场签字确认。投标人代表未到场签字确认或者拒绝签字确认的，不影响评标过程；</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8.开标会议结束。</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五、评标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（一）组建评标委员会</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招标单位和代理机构将根据本项目的特点依法组建评标委员会，评审小组人数：五名或以上单数组成。</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（二）评标的方式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本项目采用不公开方式评标，评标的依据为招标文件和投标文件。</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（三）评标程序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1.形式审查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招标人代表和代理机构工作人员协助评标委员会对投标人的资格和投标文件的完整性、合法性等进行审查。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2.实质审查与比较</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（1）评标委员会审查投标文件的实质性内容是否符合招标文件的实质性要求。</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（2）评标委员会将根据投标人的投标文件进行审查、核对,如有疑问,将对投标人进行询标,投标人要向评标委员会澄清有关问题,并最终以书面形式进行答复。</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投标人代表未到场或者拒绝澄清或者澄清的内容改变了投标文件的实质性内容的，评标委员会有权对该投标文件作出不利于投标人的评判。</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（3）各投标人的技术商务得分为所有评委的有效评分的算术平均数，由指定专人进行计算复核。</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（4）评标委员会完成评标后,评委对各单位得分汇总。评标委员会按评标原则推荐中标候选人同时起草评标报告。</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（四）澄清问题的形式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（五）评标原则和评标办法</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2.评标办法。具体评标内容及评分标准等详见《第四章：评标办法及评分标准》。</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（六）评标过程的监控</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本项目评标过程实行全程录音、录像监控，投标人在评标过程中所进行的试图影响评标结果的不公正活动，可能导致其投标被拒绝。</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六、定标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确定中标人。本项目由招标人（或招标人事先授权评标委员会）确定中标人。</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1.招标代理机构在评标结束后2个工作日内将评标报告交招标人确认。</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2.投标人对评标结果无异议的，招标人应在收到评标报告后5个工作日内对评标结果进行确认。如有投标人对评标结果提出质疑的，招标人可在质疑处理完毕后确定中标人。</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3.中标结果公示期：1个工作日。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4.中标结果公示的同时招标代理机构以书面形式发出《</w:t>
      </w:r>
      <w:r>
        <w:rPr>
          <w:rFonts w:hint="eastAsia" w:ascii="宋体" w:hAnsi="宋体" w:eastAsia="宋体" w:cs="宋体"/>
          <w:color w:val="000000" w:themeColor="text1"/>
          <w:sz w:val="21"/>
          <w:szCs w:val="21"/>
          <w:lang w:eastAsia="zh-CN"/>
          <w14:textFill>
            <w14:solidFill>
              <w14:schemeClr w14:val="tx1"/>
            </w14:solidFill>
          </w14:textFill>
        </w:rPr>
        <w:t>入围通知书</w:t>
      </w:r>
      <w:r>
        <w:rPr>
          <w:rFonts w:hint="eastAsia" w:ascii="宋体" w:hAnsi="宋体" w:eastAsia="宋体" w:cs="宋体"/>
          <w:color w:val="000000" w:themeColor="text1"/>
          <w:sz w:val="21"/>
          <w:szCs w:val="21"/>
          <w14:textFill>
            <w14:solidFill>
              <w14:schemeClr w14:val="tx1"/>
            </w14:solidFill>
          </w14:textFill>
        </w:rPr>
        <w:t>》。</w:t>
      </w:r>
    </w:p>
    <w:p>
      <w:pPr>
        <w:widowControl/>
        <w:autoSpaceDE/>
        <w:autoSpaceDN/>
        <w:adjustRightInd/>
        <w:snapToGrid w:val="0"/>
        <w:spacing w:line="500" w:lineRule="exact"/>
        <w:ind w:firstLine="482" w:firstLineChars="200"/>
        <w:jc w:val="left"/>
        <w:textAlignment w:val="auto"/>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七、履约保证金</w:t>
      </w:r>
    </w:p>
    <w:p>
      <w:pPr>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1.各</w:t>
      </w:r>
      <w:r>
        <w:rPr>
          <w:rFonts w:hint="eastAsia" w:ascii="宋体" w:hAnsi="宋体" w:eastAsia="宋体" w:cs="宋体"/>
          <w:color w:val="000000" w:themeColor="text1"/>
          <w:sz w:val="21"/>
          <w:szCs w:val="21"/>
          <w:highlight w:val="none"/>
          <w14:textFill>
            <w14:solidFill>
              <w14:schemeClr w14:val="tx1"/>
            </w14:solidFill>
          </w14:textFill>
        </w:rPr>
        <w:t>中标人应根据招标文件确定的履约保证金金额向招标人交纳（项目招标人也允许中标人以银行或保险公司出具保函形式提交履约保证金）。</w:t>
      </w:r>
    </w:p>
    <w:p>
      <w:pPr>
        <w:spacing w:line="500" w:lineRule="exact"/>
        <w:ind w:firstLine="420" w:firstLineChars="200"/>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2.签订</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具体项目</w:t>
      </w:r>
      <w:r>
        <w:rPr>
          <w:rFonts w:hint="eastAsia" w:ascii="宋体" w:hAnsi="宋体" w:eastAsia="宋体" w:cs="宋体"/>
          <w:color w:val="000000" w:themeColor="text1"/>
          <w:kern w:val="2"/>
          <w:sz w:val="21"/>
          <w:szCs w:val="21"/>
          <w:highlight w:val="none"/>
          <w:lang w:bidi="ar"/>
          <w14:textFill>
            <w14:solidFill>
              <w14:schemeClr w14:val="tx1"/>
            </w14:solidFill>
          </w14:textFill>
        </w:rPr>
        <w:t>合同后，如中标人不按双方合同约定履约，则没收其全部履约保证金，履约保证金不足以赔偿损失的，按实际损失赔偿。</w:t>
      </w:r>
    </w:p>
    <w:p>
      <w:pPr>
        <w:pStyle w:val="4"/>
        <w:snapToGrid w:val="0"/>
        <w:spacing w:line="500" w:lineRule="exact"/>
        <w:ind w:firstLine="420" w:firstLineChars="20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12" w:name="_Toc13298"/>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3.中标人履约期满，履约保证金（或履约保函）在所承接的具体业务全部履行完毕且验收合格后无息退还（若有违约，则按合同约定或依法定认定的金额予以扣除）。</w:t>
      </w:r>
      <w:bookmarkEnd w:id="12"/>
    </w:p>
    <w:p>
      <w:pPr>
        <w:pStyle w:val="4"/>
        <w:snapToGrid w:val="0"/>
        <w:spacing w:line="500" w:lineRule="exact"/>
        <w:ind w:firstLine="602" w:firstLineChars="20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br w:type="page"/>
      </w:r>
      <w:bookmarkStart w:id="13" w:name="_Toc14479"/>
      <w:r>
        <w:rPr>
          <w:rFonts w:hint="eastAsia" w:ascii="宋体" w:hAnsi="宋体" w:eastAsia="宋体" w:cs="宋体"/>
          <w:color w:val="000000" w:themeColor="text1"/>
          <w:sz w:val="30"/>
          <w:szCs w:val="30"/>
          <w14:textFill>
            <w14:solidFill>
              <w14:schemeClr w14:val="tx1"/>
            </w14:solidFill>
          </w14:textFill>
        </w:rPr>
        <w:t>第四章 评标办法及评分标准</w:t>
      </w:r>
      <w:bookmarkEnd w:id="13"/>
    </w:p>
    <w:p>
      <w:pPr>
        <w:autoSpaceDE/>
        <w:autoSpaceDN/>
        <w:adjustRightInd/>
        <w:snapToGrid w:val="0"/>
        <w:spacing w:line="5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为公正、公平、科学地选择中标人，参照有关法律法规的规定，并结合本项目的实际，制定本办法。</w:t>
      </w:r>
    </w:p>
    <w:p>
      <w:pPr>
        <w:autoSpaceDE/>
        <w:autoSpaceDN/>
        <w:adjustRightInd/>
        <w:snapToGrid w:val="0"/>
        <w:spacing w:line="5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本办法适用本项目的评标。</w:t>
      </w:r>
    </w:p>
    <w:p>
      <w:pPr>
        <w:autoSpaceDE/>
        <w:autoSpaceDN/>
        <w:adjustRightInd/>
        <w:snapToGrid w:val="0"/>
        <w:spacing w:line="500" w:lineRule="exact"/>
        <w:ind w:firstLine="422" w:firstLineChars="200"/>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一、总则</w:t>
      </w:r>
    </w:p>
    <w:p>
      <w:pPr>
        <w:autoSpaceDE/>
        <w:autoSpaceDN/>
        <w:adjustRightInd/>
        <w:spacing w:line="46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本次评标采用综合评分法，技术商务标总分为100分。合格投标人的评标得分为技术商务分汇总得分，中标候选资格按技术商务分评标得分由高到低顺序排</w:t>
      </w:r>
      <w:r>
        <w:rPr>
          <w:rFonts w:hint="eastAsia" w:ascii="宋体" w:hAnsi="宋体" w:eastAsia="宋体" w:cs="宋体"/>
          <w:b w:val="0"/>
          <w:bCs w:val="0"/>
          <w:color w:val="000000" w:themeColor="text1"/>
          <w:sz w:val="21"/>
          <w:szCs w:val="21"/>
          <w:highlight w:val="none"/>
          <w14:textFill>
            <w14:solidFill>
              <w14:schemeClr w14:val="tx1"/>
            </w14:solidFill>
          </w14:textFill>
        </w:rPr>
        <w:t>序。</w:t>
      </w:r>
      <w:r>
        <w:rPr>
          <w:rFonts w:hint="eastAsia" w:ascii="宋体" w:hAnsi="宋体" w:eastAsia="宋体" w:cs="宋体"/>
          <w:color w:val="000000" w:themeColor="text1"/>
          <w:sz w:val="21"/>
          <w:szCs w:val="21"/>
          <w14:textFill>
            <w14:solidFill>
              <w14:schemeClr w14:val="tx1"/>
            </w14:solidFill>
          </w14:textFill>
        </w:rPr>
        <w:t>本项目各入围单位选定:排名前10家（或n-1家）的投标人为中标入围服务单位，后一名投标人为候补中标入围服务单位候选人……其他投标人中标候选资格依此类推。本项目招选不多于10家入围服务机构，评分过程中采用四舍五入法，并保留小数2位。</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关于“排名前n-1家”的说明】当有效的合格投标人数量＞10家时，招选排名前10家技术商务标总分最高的投标人作为入围服务单位；当有效的合格投标人数量≤10家时，招选排名前n-1家技术商务标总分最高的投标人作为入围服务单位；当有效的合格投标人数量＜3家时，该</w:t>
      </w:r>
      <w:r>
        <w:rPr>
          <w:rFonts w:hint="eastAsia" w:hAnsi="宋体" w:cs="宋体"/>
          <w:color w:val="000000" w:themeColor="text1"/>
          <w:sz w:val="21"/>
          <w:szCs w:val="21"/>
          <w:lang w:val="en-US"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重新招标。</w:t>
      </w:r>
    </w:p>
    <w:p>
      <w:pPr>
        <w:pStyle w:val="18"/>
        <w:snapToGrid w:val="0"/>
        <w:spacing w:line="500" w:lineRule="exact"/>
        <w:ind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【关于“n”的说明】“n”指“有效的合格投标人数量”。</w:t>
      </w:r>
    </w:p>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【例】当有效的合格投标人数量为3家时，招选技术商务标总分最高的2家投标人为入围服务单位。</w:t>
      </w:r>
    </w:p>
    <w:p>
      <w:pPr>
        <w:autoSpaceDE/>
        <w:autoSpaceDN/>
        <w:adjustRightInd/>
        <w:snapToGrid w:val="0"/>
        <w:spacing w:line="5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评分过程中采用四舍五入法，并保留小数2位。</w:t>
      </w:r>
    </w:p>
    <w:p>
      <w:pPr>
        <w:widowControl/>
        <w:numPr>
          <w:ilvl w:val="0"/>
          <w:numId w:val="3"/>
        </w:numPr>
        <w:autoSpaceDE/>
        <w:autoSpaceDN/>
        <w:snapToGrid w:val="0"/>
        <w:spacing w:line="500" w:lineRule="exact"/>
        <w:ind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技术商务分（100分）</w:t>
      </w:r>
    </w:p>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初步评审（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0分）</w:t>
      </w:r>
    </w:p>
    <w:tbl>
      <w:tblPr>
        <w:tblStyle w:val="19"/>
        <w:tblW w:w="9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738"/>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3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6654"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3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企业名称</w:t>
            </w:r>
          </w:p>
        </w:tc>
        <w:tc>
          <w:tcPr>
            <w:tcW w:w="6654"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与营业执照、资质证书（如有）一致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3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营业执照证书</w:t>
            </w:r>
          </w:p>
        </w:tc>
        <w:tc>
          <w:tcPr>
            <w:tcW w:w="6654"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具备有效的营业执照</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3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参选资格</w:t>
            </w:r>
          </w:p>
        </w:tc>
        <w:tc>
          <w:tcPr>
            <w:tcW w:w="6654"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满足所响应标项的参选资格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3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其他否决条件</w:t>
            </w:r>
          </w:p>
        </w:tc>
        <w:tc>
          <w:tcPr>
            <w:tcW w:w="6654" w:type="dxa"/>
            <w:vAlign w:val="center"/>
          </w:tcPr>
          <w:p>
            <w:pPr>
              <w:autoSpaceDE/>
              <w:autoSpaceDN/>
              <w:snapToGrid w:val="0"/>
              <w:spacing w:line="50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被</w:t>
            </w:r>
            <w:r>
              <w:rPr>
                <w:rStyle w:val="42"/>
                <w:rFonts w:hint="eastAsia" w:ascii="宋体" w:hAnsi="宋体" w:eastAsia="宋体" w:cs="宋体"/>
                <w:color w:val="000000" w:themeColor="text1"/>
                <w:sz w:val="21"/>
                <w:szCs w:val="21"/>
                <w:highlight w:val="none"/>
                <w14:textFill>
                  <w14:solidFill>
                    <w14:schemeClr w14:val="tx1"/>
                  </w14:solidFill>
                </w14:textFill>
              </w:rPr>
              <w:t>“信用中国”（www.creditchina.gov.cn）、中国政府采购网（www.ccgp.gov.cn）列入失信被执行人、重大税收违法案件当事人名单、政府采购严重违法失信行为记录名单</w:t>
            </w:r>
            <w:r>
              <w:rPr>
                <w:rStyle w:val="42"/>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2.出现  </w:t>
            </w:r>
            <w:r>
              <w:rPr>
                <w:rFonts w:hint="eastAsia" w:ascii="宋体" w:hAnsi="宋体" w:eastAsia="宋体" w:cs="宋体"/>
                <w:color w:val="000000" w:themeColor="text1"/>
                <w:sz w:val="21"/>
                <w:szCs w:val="21"/>
                <w14:textFill>
                  <w14:solidFill>
                    <w14:schemeClr w14:val="tx1"/>
                  </w14:solidFill>
                </w14:textFill>
              </w:rPr>
              <w:t>第三章 投标人须知</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）投标无效的情形</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中的情形。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8" w:type="dxa"/>
            <w:gridSpan w:val="3"/>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响应文件内未提供上述评审细则相关资料的，初步评审不予通过；初步评审通过的得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（初步评审不通过的，投标无效。）</w:t>
            </w:r>
          </w:p>
        </w:tc>
      </w:tr>
    </w:tbl>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技术资信评分细则（</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tbl>
      <w:tblPr>
        <w:tblStyle w:val="2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01"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评分因素</w:t>
            </w:r>
          </w:p>
        </w:tc>
        <w:tc>
          <w:tcPr>
            <w:tcW w:w="6662"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01"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企业状况</w:t>
            </w:r>
          </w:p>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2"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的企业规模、纳税情况、财务状况、持续经营能力等，由评委进行横向比较</w:t>
            </w:r>
            <w:r>
              <w:rPr>
                <w:rFonts w:hint="eastAsia" w:hAnsi="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打分：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优秀的得10.0-8.0分，良好的得8.0-5.0分，一般的得5.0-2.0分，较差的得2.0-0.1分。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01" w:type="dxa"/>
            <w:vAlign w:val="center"/>
          </w:tcPr>
          <w:p>
            <w:pPr>
              <w:snapToGrid w:val="0"/>
              <w:spacing w:line="46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z w:val="21"/>
                <w:szCs w:val="21"/>
              </w:rPr>
              <w:t>苗木基地情况</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10分</w:t>
            </w:r>
            <w:r>
              <w:rPr>
                <w:rFonts w:hint="eastAsia" w:ascii="宋体" w:hAnsi="宋体" w:eastAsia="宋体" w:cs="宋体"/>
                <w:sz w:val="21"/>
                <w:szCs w:val="21"/>
                <w:lang w:eastAsia="zh-CN"/>
              </w:rPr>
              <w:t>）</w:t>
            </w:r>
          </w:p>
        </w:tc>
        <w:tc>
          <w:tcPr>
            <w:tcW w:w="6662" w:type="dxa"/>
            <w:vAlign w:val="center"/>
          </w:tcPr>
          <w:p>
            <w:pPr>
              <w:snapToGrid w:val="0"/>
              <w:spacing w:line="460" w:lineRule="exact"/>
              <w:rPr>
                <w:rFonts w:hint="eastAsia" w:ascii="宋体" w:hAnsi="宋体" w:eastAsia="宋体" w:cs="宋体"/>
                <w:sz w:val="21"/>
                <w:szCs w:val="21"/>
              </w:rPr>
            </w:pPr>
            <w:r>
              <w:rPr>
                <w:rFonts w:hint="eastAsia" w:ascii="宋体" w:hAnsi="宋体" w:eastAsia="宋体" w:cs="宋体"/>
                <w:sz w:val="21"/>
                <w:szCs w:val="21"/>
              </w:rPr>
              <w:t>（1）投标人的苗木</w:t>
            </w:r>
            <w:bookmarkStart w:id="19" w:name="_GoBack"/>
            <w:r>
              <w:rPr>
                <w:rFonts w:hint="eastAsia" w:ascii="宋体" w:hAnsi="宋体" w:eastAsia="宋体" w:cs="宋体"/>
                <w:sz w:val="21"/>
                <w:szCs w:val="21"/>
              </w:rPr>
              <w:t>种植</w:t>
            </w:r>
            <w:bookmarkEnd w:id="19"/>
            <w:r>
              <w:rPr>
                <w:rFonts w:hint="eastAsia" w:ascii="宋体" w:hAnsi="宋体" w:eastAsia="宋体" w:cs="宋体"/>
                <w:sz w:val="21"/>
                <w:szCs w:val="21"/>
              </w:rPr>
              <w:t>面积：苗木种植面积≤10亩的得</w:t>
            </w:r>
            <w:r>
              <w:rPr>
                <w:rFonts w:hint="eastAsia" w:ascii="宋体" w:hAnsi="宋体" w:eastAsia="宋体" w:cs="宋体"/>
                <w:sz w:val="21"/>
                <w:szCs w:val="21"/>
                <w:lang w:val="en-US" w:eastAsia="zh-CN"/>
              </w:rPr>
              <w:t>1</w:t>
            </w:r>
            <w:r>
              <w:rPr>
                <w:rFonts w:hint="eastAsia" w:ascii="宋体" w:hAnsi="宋体" w:eastAsia="宋体" w:cs="宋体"/>
                <w:sz w:val="21"/>
                <w:szCs w:val="21"/>
              </w:rPr>
              <w:t>分，10亩--50亩（含）的得</w:t>
            </w:r>
            <w:r>
              <w:rPr>
                <w:rFonts w:hint="eastAsia" w:ascii="宋体" w:hAnsi="宋体" w:eastAsia="宋体" w:cs="宋体"/>
                <w:sz w:val="21"/>
                <w:szCs w:val="21"/>
                <w:lang w:val="en-US" w:eastAsia="zh-CN"/>
              </w:rPr>
              <w:t>2</w:t>
            </w:r>
            <w:r>
              <w:rPr>
                <w:rFonts w:hint="eastAsia" w:ascii="宋体" w:hAnsi="宋体" w:eastAsia="宋体" w:cs="宋体"/>
                <w:sz w:val="21"/>
                <w:szCs w:val="21"/>
              </w:rPr>
              <w:t>分，50亩--100亩（含）的得</w:t>
            </w:r>
            <w:r>
              <w:rPr>
                <w:rFonts w:hint="eastAsia" w:ascii="宋体" w:hAnsi="宋体" w:eastAsia="宋体" w:cs="宋体"/>
                <w:sz w:val="21"/>
                <w:szCs w:val="21"/>
                <w:lang w:val="en-US" w:eastAsia="zh-CN"/>
              </w:rPr>
              <w:t>4</w:t>
            </w:r>
            <w:r>
              <w:rPr>
                <w:rFonts w:hint="eastAsia" w:ascii="宋体" w:hAnsi="宋体" w:eastAsia="宋体" w:cs="宋体"/>
                <w:sz w:val="21"/>
                <w:szCs w:val="21"/>
              </w:rPr>
              <w:t>分，&gt;1</w:t>
            </w:r>
            <w:r>
              <w:rPr>
                <w:rFonts w:hint="eastAsia" w:ascii="宋体" w:hAnsi="宋体" w:eastAsia="宋体" w:cs="宋体"/>
                <w:sz w:val="21"/>
                <w:szCs w:val="21"/>
                <w:lang w:val="en-US" w:eastAsia="zh-CN"/>
              </w:rPr>
              <w:t>0</w:t>
            </w:r>
            <w:r>
              <w:rPr>
                <w:rFonts w:hint="eastAsia" w:ascii="宋体" w:hAnsi="宋体" w:eastAsia="宋体" w:cs="宋体"/>
                <w:sz w:val="21"/>
                <w:szCs w:val="21"/>
              </w:rPr>
              <w:t>0亩的得</w:t>
            </w:r>
            <w:r>
              <w:rPr>
                <w:rFonts w:hint="eastAsia" w:ascii="宋体" w:hAnsi="宋体" w:eastAsia="宋体" w:cs="宋体"/>
                <w:sz w:val="21"/>
                <w:szCs w:val="21"/>
                <w:lang w:val="en-US" w:eastAsia="zh-CN"/>
              </w:rPr>
              <w:t>6</w:t>
            </w:r>
            <w:r>
              <w:rPr>
                <w:rFonts w:hint="eastAsia" w:ascii="宋体" w:hAnsi="宋体" w:eastAsia="宋体" w:cs="宋体"/>
                <w:sz w:val="21"/>
                <w:szCs w:val="21"/>
              </w:rPr>
              <w:t>分。[投标人须提供种植基地土地产权证明（或租赁协议、承包协议）]</w:t>
            </w:r>
          </w:p>
          <w:p>
            <w:pPr>
              <w:snapToGrid w:val="0"/>
              <w:spacing w:line="460" w:lineRule="exact"/>
              <w:rPr>
                <w:rFonts w:hint="eastAsia" w:ascii="宋体" w:hAnsi="宋体" w:eastAsia="宋体" w:cs="宋体"/>
                <w:sz w:val="21"/>
                <w:szCs w:val="21"/>
              </w:rPr>
            </w:pPr>
            <w:r>
              <w:rPr>
                <w:rFonts w:hint="eastAsia" w:ascii="宋体" w:hAnsi="宋体" w:eastAsia="宋体" w:cs="宋体"/>
                <w:sz w:val="21"/>
                <w:szCs w:val="21"/>
              </w:rPr>
              <w:t>（2）投标人苗木基地上现有的苗木品种、习性、观赏特性及应用分析。本项最高得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snapToGrid w:val="0"/>
              <w:spacing w:line="4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rPr>
              <w:t>（3）</w:t>
            </w:r>
            <w:r>
              <w:rPr>
                <w:rFonts w:hint="eastAsia" w:ascii="宋体" w:hAnsi="宋体" w:eastAsia="宋体" w:cs="宋体"/>
                <w:color w:val="auto"/>
                <w:sz w:val="21"/>
                <w:szCs w:val="21"/>
              </w:rPr>
              <w:t>投标人的花卉苗木产业特色及精品</w:t>
            </w:r>
            <w:r>
              <w:rPr>
                <w:rFonts w:hint="eastAsia" w:ascii="宋体" w:hAnsi="宋体" w:eastAsia="宋体" w:cs="宋体"/>
                <w:sz w:val="21"/>
                <w:szCs w:val="21"/>
              </w:rPr>
              <w:t>介绍。本项最高得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8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01"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p>
            <w:pPr>
              <w:autoSpaceDE/>
              <w:autoSpaceDN/>
              <w:snapToGrid w:val="0"/>
              <w:spacing w:line="500" w:lineRule="exact"/>
              <w:ind w:firstLine="210" w:firstLineChars="1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2"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2019年1月1日</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以合同签订时间为准</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至今完成过的类似业绩，每个得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最高得10分，</w:t>
            </w:r>
            <w:r>
              <w:rPr>
                <w:rFonts w:hint="eastAsia" w:ascii="宋体" w:hAnsi="宋体" w:eastAsia="宋体" w:cs="宋体"/>
                <w:color w:val="000000" w:themeColor="text1"/>
                <w:sz w:val="21"/>
                <w:szCs w:val="21"/>
                <w:highlight w:val="none"/>
                <w14:textFill>
                  <w14:solidFill>
                    <w14:schemeClr w14:val="tx1"/>
                  </w14:solidFill>
                </w14:textFill>
              </w:rPr>
              <w:t>须提供施工合同</w:t>
            </w:r>
            <w:r>
              <w:rPr>
                <w:rFonts w:hint="eastAsia" w:ascii="宋体" w:hAnsi="宋体" w:eastAsia="宋体" w:cs="宋体"/>
                <w:color w:val="000000" w:themeColor="text1"/>
                <w:sz w:val="21"/>
                <w:szCs w:val="21"/>
                <w:highlight w:val="none"/>
                <w:lang w:eastAsia="zh-CN"/>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701"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服务方案</w:t>
            </w:r>
          </w:p>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2"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rPr>
              <w:t>质量保证、供货保证措施</w:t>
            </w:r>
            <w:r>
              <w:rPr>
                <w:rFonts w:hint="eastAsia" w:ascii="宋体" w:hAnsi="宋体" w:eastAsia="宋体" w:cs="宋体"/>
                <w:sz w:val="21"/>
                <w:szCs w:val="21"/>
                <w:lang w:eastAsia="zh-CN"/>
              </w:rPr>
              <w:t>、</w:t>
            </w:r>
            <w:r>
              <w:rPr>
                <w:rFonts w:hint="eastAsia" w:ascii="宋体" w:hAnsi="宋体" w:eastAsia="宋体" w:cs="宋体"/>
                <w:color w:val="000000" w:themeColor="text1"/>
                <w:sz w:val="21"/>
                <w:szCs w:val="21"/>
                <w:highlight w:val="none"/>
                <w14:textFill>
                  <w14:solidFill>
                    <w14:schemeClr w14:val="tx1"/>
                  </w14:solidFill>
                </w14:textFill>
              </w:rPr>
              <w:t>组织计划、配合服务承诺、应急处理措施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sz w:val="21"/>
                <w:szCs w:val="21"/>
              </w:rPr>
              <w:t>售后服务承诺</w:t>
            </w:r>
            <w:r>
              <w:rPr>
                <w:rFonts w:hint="eastAsia" w:ascii="宋体" w:hAnsi="宋体" w:eastAsia="宋体" w:cs="宋体"/>
                <w:color w:val="000000" w:themeColor="text1"/>
                <w:sz w:val="21"/>
                <w:szCs w:val="21"/>
                <w:highlight w:val="none"/>
                <w14:textFill>
                  <w14:solidFill>
                    <w14:schemeClr w14:val="tx1"/>
                  </w14:solidFill>
                </w14:textFill>
              </w:rPr>
              <w:t>等，由评委进行横向比较</w:t>
            </w:r>
            <w:r>
              <w:rPr>
                <w:rFonts w:hint="eastAsia" w:hAnsi="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打分：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优秀的得10.0-8.0分，良好的得8.0-5.0分，一般的得5.0-2.0分，较差的得2.0-0.1分。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1" w:type="dxa"/>
            <w:gridSpan w:val="3"/>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备注：投标文件内未提供上述评分细则相关资料或无法体现评分细则相应内容的，该项不得分。</w:t>
            </w:r>
          </w:p>
        </w:tc>
      </w:tr>
    </w:tbl>
    <w:p>
      <w:pPr>
        <w:autoSpaceDE/>
        <w:autoSpaceDN/>
        <w:adjustRightInd/>
        <w:spacing w:line="460" w:lineRule="exact"/>
        <w:ind w:firstLine="422" w:firstLineChars="200"/>
        <w:jc w:val="both"/>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（三）技术商务分的计算</w:t>
      </w:r>
    </w:p>
    <w:p>
      <w:pPr>
        <w:autoSpaceDE/>
        <w:autoSpaceDN/>
        <w:adjustRightInd/>
        <w:spacing w:line="5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技术商务分按照评标委员会成员的独立评分结果汇总数后的算术平均分计算，计算公式为：</w:t>
      </w:r>
    </w:p>
    <w:p>
      <w:pPr>
        <w:autoSpaceDE/>
        <w:autoSpaceDN/>
        <w:adjustRightInd/>
        <w:spacing w:line="500" w:lineRule="exact"/>
        <w:ind w:firstLine="420" w:firstLineChars="200"/>
        <w:jc w:val="both"/>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技术商务分=（评标委员会所有成员“初步评审”评分合计数+评标委员会所有成员“技术资信评分”评分合计数）/（评标委员会组成人员数）</w:t>
      </w:r>
    </w:p>
    <w:p>
      <w:pPr>
        <w:autoSpaceDE/>
        <w:autoSpaceDN/>
        <w:adjustRightInd/>
        <w:spacing w:line="500" w:lineRule="exact"/>
        <w:ind w:firstLine="422" w:firstLineChars="200"/>
        <w:jc w:val="both"/>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（四）定标原则</w:t>
      </w:r>
    </w:p>
    <w:p>
      <w:pPr>
        <w:autoSpaceDE/>
        <w:autoSpaceDN/>
        <w:adjustRightInd/>
        <w:spacing w:line="500" w:lineRule="exact"/>
        <w:ind w:firstLine="420" w:firstLineChars="200"/>
        <w:jc w:val="both"/>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 xml:space="preserve"> 按照招标文件规定“综合评分法”的原则定标，法律法规和国家政策另有规定的从其规定，当总分相同时，则由评标委员会组长抽签决定。</w:t>
      </w:r>
    </w:p>
    <w:p>
      <w:pPr>
        <w:tabs>
          <w:tab w:val="left" w:pos="0"/>
        </w:tabs>
        <w:snapToGrid w:val="0"/>
        <w:spacing w:line="50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2.经预中标结果公示期满无异议，中标候选人即成为中标人。</w:t>
      </w:r>
    </w:p>
    <w:p>
      <w:pPr>
        <w:autoSpaceDE/>
        <w:autoSpaceDN/>
        <w:adjustRightInd/>
        <w:spacing w:line="500" w:lineRule="exact"/>
        <w:ind w:firstLine="422" w:firstLineChars="200"/>
        <w:jc w:val="both"/>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（五）保密及其它注意事项</w:t>
      </w:r>
    </w:p>
    <w:p>
      <w:pPr>
        <w:autoSpaceDE/>
        <w:autoSpaceDN/>
        <w:adjustRightInd/>
        <w:spacing w:line="500" w:lineRule="exact"/>
        <w:ind w:firstLine="420" w:firstLineChars="200"/>
        <w:jc w:val="both"/>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1.评标是招标过程中的重要环节，评标工作在评委会成员内独立进行。评标委员会将遵照评标原则，公正、公平、客观地对待所有投标人。</w:t>
      </w:r>
    </w:p>
    <w:p>
      <w:pPr>
        <w:tabs>
          <w:tab w:val="left" w:pos="0"/>
        </w:tabs>
        <w:snapToGrid w:val="0"/>
        <w:spacing w:line="50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2.在开标、评标期间，投标人不得向评委询问评标情况，不得进行旨在影响评标结果的活动。</w:t>
      </w:r>
    </w:p>
    <w:p>
      <w:pPr>
        <w:tabs>
          <w:tab w:val="left" w:pos="0"/>
        </w:tabs>
        <w:snapToGrid w:val="0"/>
        <w:spacing w:line="50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3.为保证定标的公正性，在评标过程中，评委不得与投标人私下交换意见。在招标工作结束后与评标工作有接触的任何人，不得将评标情况外泄。</w:t>
      </w:r>
    </w:p>
    <w:p>
      <w:pPr>
        <w:autoSpaceDE/>
        <w:autoSpaceDN/>
        <w:adjustRightInd/>
        <w:spacing w:line="46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pPr>
        <w:snapToGrid w:val="0"/>
        <w:spacing w:line="500" w:lineRule="exact"/>
        <w:ind w:left="680" w:firstLine="420" w:firstLineChars="200"/>
        <w:jc w:val="center"/>
        <w:rPr>
          <w:rFonts w:hint="eastAsia" w:ascii="宋体" w:hAnsi="宋体" w:eastAsia="宋体" w:cs="宋体"/>
          <w:color w:val="000000" w:themeColor="text1"/>
          <w:sz w:val="21"/>
          <w:szCs w:val="21"/>
          <w14:textFill>
            <w14:solidFill>
              <w14:schemeClr w14:val="tx1"/>
            </w14:solidFill>
          </w14:textFill>
        </w:rPr>
      </w:pPr>
    </w:p>
    <w:p>
      <w:pPr>
        <w:pStyle w:val="4"/>
        <w:bidi w:val="0"/>
        <w:jc w:val="center"/>
        <w:rPr>
          <w:rFonts w:hint="eastAsia" w:ascii="宋体" w:hAnsi="宋体" w:eastAsia="宋体" w:cs="宋体"/>
          <w:sz w:val="30"/>
          <w:szCs w:val="30"/>
          <w:lang w:val="en-US" w:eastAsia="zh-CN"/>
        </w:rPr>
      </w:pPr>
      <w:bookmarkStart w:id="14" w:name="_Toc29450"/>
      <w:r>
        <w:rPr>
          <w:rFonts w:hint="eastAsia" w:ascii="宋体" w:hAnsi="宋体" w:eastAsia="宋体" w:cs="宋体"/>
          <w:sz w:val="30"/>
          <w:szCs w:val="30"/>
          <w:lang w:val="en-US" w:eastAsia="zh-CN"/>
        </w:rPr>
        <w:t>第五章 考核制度（暂行）</w:t>
      </w:r>
      <w:bookmarkEnd w:id="14"/>
    </w:p>
    <w:p>
      <w:pPr>
        <w:snapToGrid w:val="0"/>
        <w:spacing w:line="5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一、考核细则</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1.接到甲方竞价</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询价通知后未在2小时内响应并报价的，每次扣1分；特殊情况的，甲方将按实际情况酌情考虑。</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2.接到分配任务后未在甲方要求时间内完成的，每次扣2分；特殊情况的，甲方将按实际情况酌情考虑。</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3.进场前乙方必须自行进行安全教育，未进行的每次扣2分；</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4.乙方不服从甲方管理或态度恶劣不配合甲方工作的，每次扣2分；</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5.乙方人员考勤到位率不符合甲方要求的，每次扣2分；</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6.乙方人员在岗期间不尽责或酒后上岗的，每次扣2分；</w:t>
      </w:r>
    </w:p>
    <w:p>
      <w:pPr>
        <w:snapToGrid w:val="0"/>
        <w:spacing w:line="5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7.因乙方原因导致采购人受到上级有关部门批评指正的，每次扣2分。</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.乙方提供的材料或设备或机械不符合甲方要求的，或存在质量问题的，每次扣2分；</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.乙方人员未按规定实行安全文明施工的，每次扣5分；</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.成品未进行保护或乙方人员人为损坏已完工程的，乙方自行承担一切责任及后果，每次扣5分并按实际损失向甲方进行赔偿。</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.发生乙方人员恶意浪费或窃取甲方提供的材料、器械、设备等，每次扣5分并按实际损失向甲方进行赔偿。</w:t>
      </w:r>
    </w:p>
    <w:p>
      <w:pPr>
        <w:snapToGrid w:val="0"/>
        <w:spacing w:line="5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lang w:eastAsia="zh-CN"/>
        </w:rPr>
        <w:t>.不按规定工艺标准或未按甲方要求施工的，每次扣2分；情节严重的每次扣10分及以上且甲方有权解除</w:t>
      </w:r>
      <w:r>
        <w:rPr>
          <w:rFonts w:hint="eastAsia" w:hAnsi="宋体" w:cs="宋体"/>
          <w:sz w:val="21"/>
          <w:szCs w:val="21"/>
          <w:highlight w:val="yellow"/>
          <w:lang w:val="en-US" w:eastAsia="zh-CN"/>
        </w:rPr>
        <w:t>单项</w:t>
      </w:r>
      <w:r>
        <w:rPr>
          <w:rFonts w:hint="eastAsia" w:ascii="宋体" w:hAnsi="宋体" w:eastAsia="宋体" w:cs="宋体"/>
          <w:sz w:val="21"/>
          <w:szCs w:val="21"/>
          <w:highlight w:val="yellow"/>
          <w:lang w:eastAsia="zh-CN"/>
        </w:rPr>
        <w:t>合同</w:t>
      </w:r>
      <w:r>
        <w:rPr>
          <w:rFonts w:hint="eastAsia" w:ascii="宋体" w:hAnsi="宋体" w:eastAsia="宋体" w:cs="宋体"/>
          <w:sz w:val="21"/>
          <w:szCs w:val="21"/>
          <w:lang w:eastAsia="zh-CN"/>
        </w:rPr>
        <w:t>，由此引发工程质量问题的乙方须无条件返工或无偿修补其缺陷并按实际损失向甲方进行赔偿。</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lang w:eastAsia="zh-CN"/>
        </w:rPr>
        <w:t>.乙方偷工减料的，每次扣</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分；若由此产生工程质量问题的，按实际损失向甲方进行赔偿且甲方有权解除</w:t>
      </w:r>
      <w:r>
        <w:rPr>
          <w:rFonts w:hint="eastAsia" w:hAnsi="宋体" w:cs="宋体"/>
          <w:sz w:val="21"/>
          <w:szCs w:val="21"/>
          <w:highlight w:val="yellow"/>
          <w:lang w:val="en-US" w:eastAsia="zh-CN"/>
        </w:rPr>
        <w:t>入围资格</w:t>
      </w:r>
      <w:r>
        <w:rPr>
          <w:rFonts w:hint="eastAsia" w:ascii="宋体" w:hAnsi="宋体" w:eastAsia="宋体" w:cs="宋体"/>
          <w:sz w:val="21"/>
          <w:szCs w:val="21"/>
          <w:lang w:eastAsia="zh-CN"/>
        </w:rPr>
        <w:t>。</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.因乙方原因造成工期延误的，每次扣</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分；若造成甲方实际工期延误20%及以上的，须按实际损失向甲方进行赔偿且甲方有权解除</w:t>
      </w:r>
      <w:r>
        <w:rPr>
          <w:rFonts w:hint="eastAsia" w:hAnsi="宋体" w:cs="宋体"/>
          <w:sz w:val="21"/>
          <w:szCs w:val="21"/>
          <w:highlight w:val="yellow"/>
          <w:lang w:val="en-US" w:eastAsia="zh-CN"/>
        </w:rPr>
        <w:t>入围资格</w:t>
      </w:r>
      <w:r>
        <w:rPr>
          <w:rFonts w:hint="eastAsia" w:ascii="宋体" w:hAnsi="宋体" w:eastAsia="宋体" w:cs="宋体"/>
          <w:sz w:val="21"/>
          <w:szCs w:val="21"/>
          <w:lang w:eastAsia="zh-CN"/>
        </w:rPr>
        <w:t>。</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.发生安全事故导致人员伤亡的，乙方自行承担一切责任及后果，情节严重的每次扣</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分及以上且甲方有</w:t>
      </w:r>
      <w:r>
        <w:rPr>
          <w:rFonts w:hint="eastAsia" w:ascii="宋体" w:hAnsi="宋体" w:eastAsia="宋体" w:cs="宋体"/>
          <w:sz w:val="21"/>
          <w:szCs w:val="21"/>
          <w:highlight w:val="yellow"/>
          <w:lang w:eastAsia="zh-CN"/>
        </w:rPr>
        <w:t>权解除</w:t>
      </w:r>
      <w:r>
        <w:rPr>
          <w:rFonts w:hint="eastAsia" w:hAnsi="宋体" w:cs="宋体"/>
          <w:sz w:val="21"/>
          <w:szCs w:val="21"/>
          <w:highlight w:val="yellow"/>
          <w:lang w:val="en-US" w:eastAsia="zh-CN"/>
        </w:rPr>
        <w:t>入围资格</w:t>
      </w:r>
      <w:r>
        <w:rPr>
          <w:rFonts w:hint="eastAsia" w:ascii="宋体" w:hAnsi="宋体" w:eastAsia="宋体" w:cs="宋体"/>
          <w:sz w:val="21"/>
          <w:szCs w:val="21"/>
          <w:highlight w:val="yellow"/>
          <w:lang w:eastAsia="zh-CN"/>
        </w:rPr>
        <w:t>。</w:t>
      </w:r>
    </w:p>
    <w:p>
      <w:pPr>
        <w:snapToGrid w:val="0"/>
        <w:spacing w:line="500" w:lineRule="exact"/>
        <w:rPr>
          <w:rFonts w:hint="eastAsia" w:ascii="宋体" w:hAnsi="宋体" w:eastAsia="宋体" w:cs="宋体"/>
          <w:sz w:val="21"/>
          <w:szCs w:val="21"/>
          <w:lang w:val="en-US"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.积极响应甲方应急任务且配合完成的或在相关检查中有突出表现的，甲方将视情况给予考核加分鼓励。</w:t>
      </w:r>
    </w:p>
    <w:p>
      <w:pPr>
        <w:snapToGrid w:val="0"/>
        <w:spacing w:line="5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上述1-</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条在扣分的同时将按</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00元/分进行违约处罚，违约金直接从考核当期应付的进度款中扣除；情节严重的甲方将加倍处罚；若给甲方造成损失的，必须按实际损失向甲方进行赔偿，赔偿款甲方有权在</w:t>
      </w:r>
      <w:r>
        <w:rPr>
          <w:rFonts w:hint="eastAsia" w:ascii="宋体" w:hAnsi="宋体" w:eastAsia="宋体" w:cs="宋体"/>
          <w:sz w:val="21"/>
          <w:szCs w:val="21"/>
          <w:highlight w:val="yellow"/>
          <w:lang w:eastAsia="zh-CN"/>
        </w:rPr>
        <w:t>合同价款</w:t>
      </w:r>
      <w:r>
        <w:rPr>
          <w:rFonts w:hint="eastAsia" w:hAnsi="宋体" w:cs="宋体"/>
          <w:sz w:val="21"/>
          <w:szCs w:val="21"/>
          <w:highlight w:val="yellow"/>
          <w:lang w:val="en-US" w:eastAsia="zh-CN"/>
        </w:rPr>
        <w:t>或履约保证金</w:t>
      </w:r>
      <w:r>
        <w:rPr>
          <w:rFonts w:hint="eastAsia" w:ascii="宋体" w:hAnsi="宋体" w:eastAsia="宋体" w:cs="宋体"/>
          <w:sz w:val="21"/>
          <w:szCs w:val="21"/>
          <w:lang w:eastAsia="zh-CN"/>
        </w:rPr>
        <w:t>中直接扣除。</w:t>
      </w:r>
    </w:p>
    <w:p>
      <w:pPr>
        <w:snapToGrid w:val="0"/>
        <w:spacing w:line="5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二、考核方法</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1.考核周期：以单个项目按月进行考核（材料供应按项目考核）。</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2.考核结果：按满分 100 分计，月考核满分的为“优秀”；月考核 95 分-99 分的为“一般”；月考核 8</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 分-94 分的为“差”，月考核 </w:t>
      </w:r>
      <w:r>
        <w:rPr>
          <w:rFonts w:hint="eastAsia" w:ascii="宋体" w:hAnsi="宋体" w:eastAsia="宋体" w:cs="宋体"/>
          <w:sz w:val="21"/>
          <w:szCs w:val="21"/>
          <w:lang w:val="en-US" w:eastAsia="zh-CN"/>
        </w:rPr>
        <w:t>85</w:t>
      </w:r>
      <w:r>
        <w:rPr>
          <w:rFonts w:hint="eastAsia" w:ascii="宋体" w:hAnsi="宋体" w:eastAsia="宋体" w:cs="宋体"/>
          <w:sz w:val="21"/>
          <w:szCs w:val="21"/>
          <w:lang w:eastAsia="zh-CN"/>
        </w:rPr>
        <w:t>分及以下的为“不合格”。</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3.考核依据：以甲方管理人员或监理单位监理人员记录为准。</w:t>
      </w:r>
    </w:p>
    <w:p>
      <w:pPr>
        <w:snapToGrid w:val="0"/>
        <w:spacing w:line="5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三、考核处理</w:t>
      </w:r>
    </w:p>
    <w:p>
      <w:pPr>
        <w:snapToGrid w:val="0"/>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月考核连续3个月及以上考核结果为优秀的投标人，</w:t>
      </w:r>
      <w:r>
        <w:rPr>
          <w:rFonts w:hint="eastAsia" w:ascii="宋体" w:hAnsi="宋体" w:eastAsia="宋体" w:cs="宋体"/>
          <w:sz w:val="21"/>
          <w:szCs w:val="21"/>
          <w:lang w:eastAsia="zh-CN"/>
        </w:rPr>
        <w:t>甲方将视情况给予鼓励。</w:t>
      </w:r>
    </w:p>
    <w:p>
      <w:pPr>
        <w:snapToGrid w:val="0"/>
        <w:spacing w:line="46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按甲方要求工期，考核结果为“差”的月数占总甲方要求工期的 5%及以上时，甲方有权暂停其参与后续项目竞价</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询价的资格或解除</w:t>
      </w:r>
      <w:r>
        <w:rPr>
          <w:rFonts w:hint="eastAsia" w:hAnsi="宋体" w:cs="宋体"/>
          <w:sz w:val="21"/>
          <w:szCs w:val="21"/>
          <w:highlight w:val="yellow"/>
          <w:lang w:val="en-US" w:eastAsia="zh-CN"/>
        </w:rPr>
        <w:t>单项</w:t>
      </w:r>
      <w:r>
        <w:rPr>
          <w:rFonts w:hint="eastAsia" w:ascii="宋体" w:hAnsi="宋体" w:eastAsia="宋体" w:cs="宋体"/>
          <w:sz w:val="21"/>
          <w:szCs w:val="21"/>
          <w:highlight w:val="yellow"/>
          <w:lang w:eastAsia="zh-CN"/>
        </w:rPr>
        <w:t>合同</w:t>
      </w:r>
      <w:r>
        <w:rPr>
          <w:rFonts w:hint="eastAsia" w:ascii="宋体" w:hAnsi="宋体" w:eastAsia="宋体" w:cs="宋体"/>
          <w:sz w:val="21"/>
          <w:szCs w:val="21"/>
          <w:lang w:eastAsia="zh-CN"/>
        </w:rPr>
        <w:t>。</w:t>
      </w:r>
    </w:p>
    <w:p>
      <w:pPr>
        <w:snapToGrid w:val="0"/>
        <w:spacing w:line="46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.月考核结果为“不合格”的，甲方有权暂停其参与后续项目竞价</w:t>
      </w:r>
      <w:r>
        <w:rPr>
          <w:rFonts w:hint="eastAsia" w:ascii="宋体" w:hAnsi="宋体" w:eastAsia="宋体" w:cs="宋体"/>
          <w:sz w:val="21"/>
          <w:szCs w:val="21"/>
          <w:lang w:val="en-US" w:eastAsia="zh-CN"/>
        </w:rPr>
        <w:t>/询价</w:t>
      </w:r>
      <w:r>
        <w:rPr>
          <w:rFonts w:hint="eastAsia" w:ascii="宋体" w:hAnsi="宋体" w:eastAsia="宋体" w:cs="宋体"/>
          <w:sz w:val="21"/>
          <w:szCs w:val="21"/>
          <w:lang w:eastAsia="zh-CN"/>
        </w:rPr>
        <w:t>的资格或</w:t>
      </w:r>
      <w:r>
        <w:rPr>
          <w:rFonts w:hint="eastAsia" w:hAnsi="宋体" w:cs="宋体"/>
          <w:sz w:val="21"/>
          <w:szCs w:val="21"/>
          <w:highlight w:val="yellow"/>
          <w:lang w:val="en-US" w:eastAsia="zh-CN"/>
        </w:rPr>
        <w:t>解除入围资格</w:t>
      </w:r>
      <w:r>
        <w:rPr>
          <w:rFonts w:hint="eastAsia" w:ascii="宋体" w:hAnsi="宋体" w:eastAsia="宋体" w:cs="宋体"/>
          <w:sz w:val="21"/>
          <w:szCs w:val="21"/>
          <w:lang w:eastAsia="zh-CN"/>
        </w:rPr>
        <w:t>。</w:t>
      </w:r>
    </w:p>
    <w:p>
      <w:pPr>
        <w:pStyle w:val="4"/>
        <w:spacing w:line="360" w:lineRule="auto"/>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bookmarkStart w:id="15" w:name="_Toc26968"/>
      <w:r>
        <w:rPr>
          <w:rFonts w:hint="eastAsia" w:ascii="宋体" w:hAnsi="宋体" w:eastAsia="宋体" w:cs="宋体"/>
          <w:color w:val="000000" w:themeColor="text1"/>
          <w:sz w:val="30"/>
          <w:szCs w:val="30"/>
          <w14:textFill>
            <w14:solidFill>
              <w14:schemeClr w14:val="tx1"/>
            </w14:solidFill>
          </w14:textFill>
        </w:rPr>
        <w:t>第六章　投标文件格式</w:t>
      </w:r>
      <w:bookmarkEnd w:id="15"/>
    </w:p>
    <w:p>
      <w:pPr>
        <w:snapToGrid w:val="0"/>
        <w:spacing w:beforeLines="50" w:after="50"/>
        <w:jc w:val="center"/>
        <w:rPr>
          <w:rFonts w:hint="eastAsia" w:ascii="宋体" w:hAnsi="宋体" w:eastAsia="宋体" w:cs="宋体"/>
          <w:color w:val="000000" w:themeColor="text1"/>
          <w:sz w:val="24"/>
          <w:szCs w:val="24"/>
          <w14:textFill>
            <w14:solidFill>
              <w14:schemeClr w14:val="tx1"/>
            </w14:solidFill>
          </w14:textFill>
        </w:rPr>
      </w:pPr>
      <w:bookmarkStart w:id="16" w:name="_Toc354841323"/>
      <w:bookmarkStart w:id="17" w:name="_Toc351559947"/>
      <w:r>
        <w:rPr>
          <w:rFonts w:hint="eastAsia" w:ascii="宋体" w:hAnsi="宋体" w:eastAsia="宋体" w:cs="宋体"/>
          <w:color w:val="000000" w:themeColor="text1"/>
          <w:sz w:val="24"/>
          <w:szCs w:val="24"/>
          <w14:textFill>
            <w14:solidFill>
              <w14:schemeClr w14:val="tx1"/>
            </w14:solidFill>
          </w14:textFill>
        </w:rPr>
        <w:t>一、投标文件外层包装封面格式</w:t>
      </w:r>
      <w:bookmarkEnd w:id="16"/>
      <w:bookmarkEnd w:id="17"/>
    </w:p>
    <w:p>
      <w:pPr>
        <w:snapToGrid w:val="0"/>
        <w:spacing w:beforeLines="50" w:after="5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600" w:firstLineChars="25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600" w:firstLineChars="2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所有投标文件的外包装封面格式：(可选用)</w:t>
      </w:r>
    </w:p>
    <w:p>
      <w:pPr>
        <w:snapToGrid w:val="0"/>
        <w:spacing w:beforeLines="50" w:after="5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jc w:val="center"/>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文 件</w:t>
      </w:r>
    </w:p>
    <w:p>
      <w:pPr>
        <w:snapToGrid w:val="0"/>
        <w:spacing w:beforeLines="50" w:after="5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项目名称： </w:t>
      </w:r>
    </w:p>
    <w:p>
      <w:pPr>
        <w:snapToGrid w:val="0"/>
        <w:spacing w:beforeLines="50" w:after="5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pPr>
        <w:snapToGrid w:val="0"/>
        <w:spacing w:beforeLines="50" w:after="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snapToGrid w:val="0"/>
        <w:spacing w:beforeLines="50" w:after="5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投标文件名称：技术商务标</w:t>
      </w:r>
    </w:p>
    <w:p>
      <w:pPr>
        <w:snapToGrid w:val="0"/>
        <w:spacing w:beforeLines="50" w:after="5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w:t>
      </w:r>
    </w:p>
    <w:p>
      <w:pPr>
        <w:snapToGrid w:val="0"/>
        <w:spacing w:beforeLines="50" w:after="5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投标人地址：</w:t>
      </w:r>
    </w:p>
    <w:p>
      <w:pPr>
        <w:snapToGrid w:val="0"/>
        <w:spacing w:beforeLines="50" w:after="5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  年  月  日  时  分之前不得启封</w:t>
      </w: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64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snapToGrid w:val="0"/>
        <w:spacing w:beforeLines="50" w:after="50"/>
        <w:ind w:firstLine="4080" w:firstLineChars="1700"/>
        <w:rPr>
          <w:rFonts w:hint="eastAsia" w:ascii="宋体" w:hAnsi="宋体" w:eastAsia="宋体" w:cs="宋体"/>
          <w:color w:val="000000" w:themeColor="text1"/>
          <w:sz w:val="24"/>
          <w:szCs w:val="24"/>
          <w14:textFill>
            <w14:solidFill>
              <w14:schemeClr w14:val="tx1"/>
            </w14:solidFill>
          </w14:textFill>
        </w:rPr>
      </w:pPr>
    </w:p>
    <w:p>
      <w:pPr>
        <w:pStyle w:val="2"/>
        <w:rPr>
          <w:rFonts w:hint="eastAsia"/>
        </w:rPr>
      </w:pPr>
    </w:p>
    <w:p>
      <w:pPr>
        <w:snapToGrid w:val="0"/>
        <w:spacing w:line="5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投标文件由技术商务标组成，须装订成册，进行密封，内容如下：</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1.法定代表人资格证明书及法定代表人授权委托书 （由法定代表人直接参加投标并对相应文件签署的，只需提供前者 ）；（格式见附件）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2.符合参加本项目采购活动应当具备的资格条件的承诺函；（格式见附件） </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3.投标单位基本情况表（格式见附件）；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4.营业执照副本</w:t>
      </w:r>
      <w:r>
        <w:rPr>
          <w:rFonts w:hint="eastAsia" w:ascii="宋体" w:hAnsi="宋体" w:eastAsia="宋体" w:cs="宋体"/>
          <w:color w:val="000000" w:themeColor="text1"/>
          <w:sz w:val="21"/>
          <w:szCs w:val="21"/>
          <w:lang w:val="en-US" w:eastAsia="zh-CN"/>
          <w14:textFill>
            <w14:solidFill>
              <w14:schemeClr w14:val="tx1"/>
            </w14:solidFill>
          </w14:textFill>
        </w:rPr>
        <w:t>等</w:t>
      </w:r>
      <w:r>
        <w:rPr>
          <w:rFonts w:hint="eastAsia" w:ascii="宋体" w:hAnsi="宋体" w:eastAsia="宋体" w:cs="宋体"/>
          <w:color w:val="000000" w:themeColor="text1"/>
          <w:sz w:val="21"/>
          <w:szCs w:val="21"/>
          <w14:textFill>
            <w14:solidFill>
              <w14:schemeClr w14:val="tx1"/>
            </w14:solidFill>
          </w14:textFill>
        </w:rPr>
        <w:t>相关证书；</w:t>
      </w:r>
    </w:p>
    <w:p>
      <w:pPr>
        <w:widowControl/>
        <w:autoSpaceDE/>
        <w:autoSpaceDN/>
        <w:snapToGrid w:val="0"/>
        <w:spacing w:line="500" w:lineRule="exact"/>
        <w:ind w:left="415" w:leftChars="12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5.承诺函（格式见附件）；</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6.响应函（格式见附件）；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7.20</w:t>
      </w:r>
      <w:r>
        <w:rPr>
          <w:rFonts w:hint="eastAsia" w:ascii="宋体" w:hAnsi="宋体" w:eastAsia="宋体" w:cs="宋体"/>
          <w:color w:val="000000" w:themeColor="text1"/>
          <w:sz w:val="21"/>
          <w:szCs w:val="21"/>
          <w:lang w:val="en-US" w:eastAsia="zh-CN"/>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t>年1月1日至今承接同类项目清单（格式见附件，提供合同主要页面复印件）；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8.服务条款偏离表（格式见附件）；</w:t>
      </w:r>
    </w:p>
    <w:p>
      <w:pPr>
        <w:widowControl/>
        <w:autoSpaceDE/>
        <w:autoSpaceDN/>
        <w:adjustRightInd/>
        <w:spacing w:line="500" w:lineRule="exact"/>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9.根据标项评分因素须提供的相关材料：如企业状况、企业管理水平、技术力量配备、养护的合理化建议、提供苗木的响应速度及突发事件处置方案等（投标人须按照评分因素的先后顺序放置相关材料）；</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10.评分规则中涉及的所需提供的资料、投标人</w:t>
      </w:r>
      <w:r>
        <w:rPr>
          <w:rFonts w:hint="eastAsia" w:hAnsi="宋体" w:cs="宋体"/>
          <w:color w:val="000000" w:themeColor="text1"/>
          <w:sz w:val="21"/>
          <w:szCs w:val="21"/>
          <w:lang w:eastAsia="zh-CN"/>
          <w14:textFill>
            <w14:solidFill>
              <w14:schemeClr w14:val="tx1"/>
            </w14:solidFill>
          </w14:textFill>
        </w:rPr>
        <w:t>认为</w:t>
      </w:r>
      <w:r>
        <w:rPr>
          <w:rFonts w:hint="eastAsia" w:ascii="宋体" w:hAnsi="宋体" w:eastAsia="宋体" w:cs="宋体"/>
          <w:color w:val="000000" w:themeColor="text1"/>
          <w:sz w:val="21"/>
          <w:szCs w:val="21"/>
          <w14:textFill>
            <w14:solidFill>
              <w14:schemeClr w14:val="tx1"/>
            </w14:solidFill>
          </w14:textFill>
        </w:rPr>
        <w:t>需要说明的其他文件和说明。</w:t>
      </w:r>
    </w:p>
    <w:p>
      <w:pPr>
        <w:pStyle w:val="5"/>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sz w:val="21"/>
          <w:szCs w:val="21"/>
          <w14:textFill>
            <w14:solidFill>
              <w14:schemeClr w14:val="tx1"/>
            </w14:solidFill>
          </w14:textFill>
        </w:rPr>
      </w:pPr>
    </w:p>
    <w:p>
      <w:pPr>
        <w:pStyle w:val="5"/>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sz w:val="21"/>
          <w:szCs w:val="21"/>
          <w14:textFill>
            <w14:solidFill>
              <w14:schemeClr w14:val="tx1"/>
            </w14:solidFill>
          </w14:textFill>
        </w:rPr>
      </w:pPr>
    </w:p>
    <w:p>
      <w:pPr>
        <w:pStyle w:val="5"/>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sz w:val="21"/>
          <w:szCs w:val="21"/>
          <w14:textFill>
            <w14:solidFill>
              <w14:schemeClr w14:val="tx1"/>
            </w14:solidFill>
          </w14:textFill>
        </w:rPr>
      </w:pPr>
    </w:p>
    <w:p>
      <w:pPr>
        <w:pStyle w:val="5"/>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sz w:val="21"/>
          <w:szCs w:val="21"/>
          <w14:textFill>
            <w14:solidFill>
              <w14:schemeClr w14:val="tx1"/>
            </w14:solidFill>
          </w14:textFill>
        </w:rPr>
      </w:pPr>
    </w:p>
    <w:p>
      <w:pPr>
        <w:pStyle w:val="5"/>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sz w:val="21"/>
          <w:szCs w:val="21"/>
          <w14:textFill>
            <w14:solidFill>
              <w14:schemeClr w14:val="tx1"/>
            </w14:solidFill>
          </w14:textFill>
        </w:rPr>
      </w:pPr>
    </w:p>
    <w:p>
      <w:pPr>
        <w:pStyle w:val="5"/>
        <w:rPr>
          <w:rFonts w:hint="eastAsia" w:ascii="宋体" w:hAnsi="宋体" w:eastAsia="宋体" w:cs="宋体"/>
        </w:rPr>
      </w:pPr>
    </w:p>
    <w:p>
      <w:pPr>
        <w:numPr>
          <w:ilvl w:val="0"/>
          <w:numId w:val="4"/>
        </w:numPr>
        <w:snapToGrid w:val="0"/>
        <w:spacing w:beforeLines="50" w:after="50"/>
        <w:jc w:val="both"/>
        <w:rPr>
          <w:rFonts w:hint="eastAsia" w:ascii="宋体" w:hAnsi="宋体" w:eastAsia="宋体" w:cs="宋体"/>
          <w:b/>
          <w:bCs/>
          <w:color w:val="000000" w:themeColor="text1"/>
          <w:sz w:val="24"/>
          <w:szCs w:val="24"/>
          <w14:textFill>
            <w14:solidFill>
              <w14:schemeClr w14:val="tx1"/>
            </w14:solidFill>
          </w14:textFill>
        </w:rPr>
      </w:pPr>
      <w:bookmarkStart w:id="18" w:name="_Toc302595373"/>
      <w:r>
        <w:rPr>
          <w:rFonts w:hint="eastAsia" w:ascii="宋体" w:hAnsi="宋体" w:eastAsia="宋体" w:cs="宋体"/>
          <w:b/>
          <w:bCs/>
          <w:color w:val="000000" w:themeColor="text1"/>
          <w:sz w:val="24"/>
          <w:szCs w:val="24"/>
          <w14:textFill>
            <w14:solidFill>
              <w14:schemeClr w14:val="tx1"/>
            </w14:solidFill>
          </w14:textFill>
        </w:rPr>
        <w:t>技术商务标部分参考</w:t>
      </w:r>
    </w:p>
    <w:p>
      <w:pPr>
        <w:numPr>
          <w:ilvl w:val="255"/>
          <w:numId w:val="0"/>
        </w:numPr>
        <w:snapToGrid w:val="0"/>
        <w:spacing w:beforeLines="50" w:after="50"/>
        <w:jc w:val="center"/>
        <w:rPr>
          <w:rFonts w:hint="eastAsia" w:ascii="宋体" w:hAnsi="宋体" w:eastAsia="宋体" w:cs="宋体"/>
          <w:b/>
          <w:color w:val="000000" w:themeColor="text1"/>
          <w:sz w:val="24"/>
          <w:szCs w:val="24"/>
          <w14:textFill>
            <w14:solidFill>
              <w14:schemeClr w14:val="tx1"/>
            </w14:solidFill>
          </w14:textFill>
        </w:rPr>
      </w:pPr>
    </w:p>
    <w:p>
      <w:pPr>
        <w:numPr>
          <w:ilvl w:val="255"/>
          <w:numId w:val="0"/>
        </w:numPr>
        <w:snapToGrid w:val="0"/>
        <w:spacing w:beforeLines="50" w:after="5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1.法定代表人资格证明书</w:t>
      </w:r>
    </w:p>
    <w:p>
      <w:pPr>
        <w:spacing w:line="48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p>
    <w:p>
      <w:pPr>
        <w:spacing w:line="48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p>
    <w:p>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（法定代表人姓名）</w:t>
      </w: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（投标人全称）</w:t>
      </w:r>
      <w:r>
        <w:rPr>
          <w:rFonts w:hint="eastAsia" w:ascii="宋体" w:hAnsi="宋体" w:eastAsia="宋体" w:cs="宋体"/>
          <w:color w:val="000000" w:themeColor="text1"/>
          <w:sz w:val="24"/>
          <w:szCs w:val="24"/>
          <w14:textFill>
            <w14:solidFill>
              <w14:schemeClr w14:val="tx1"/>
            </w14:solidFill>
          </w14:textFill>
        </w:rPr>
        <w:t>的法定代表人。</w:t>
      </w:r>
    </w:p>
    <w:p>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pPr>
        <w:pStyle w:val="2"/>
        <w:ind w:left="680" w:firstLine="480"/>
        <w:rPr>
          <w:rFonts w:hint="eastAsia" w:ascii="宋体" w:hAnsi="宋体" w:eastAsia="宋体" w:cs="宋体"/>
          <w:color w:val="000000" w:themeColor="text1"/>
          <w:sz w:val="24"/>
          <w:szCs w:val="24"/>
          <w14:textFill>
            <w14:solidFill>
              <w14:schemeClr w14:val="tx1"/>
            </w14:solidFill>
          </w14:textFill>
        </w:rPr>
      </w:pPr>
    </w:p>
    <w:p>
      <w:pPr>
        <w:pStyle w:val="29"/>
        <w:rPr>
          <w:rFonts w:hint="eastAsia" w:ascii="宋体" w:hAnsi="宋体" w:eastAsia="宋体" w:cs="宋体"/>
          <w:color w:val="000000" w:themeColor="text1"/>
          <w:sz w:val="24"/>
          <w:szCs w:val="24"/>
          <w14:textFill>
            <w14:solidFill>
              <w14:schemeClr w14:val="tx1"/>
            </w14:solidFill>
          </w14:textFill>
        </w:rPr>
      </w:pP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法定代表人身份证（正反面）复印件粘贴处：</w:t>
      </w:r>
    </w:p>
    <w:p>
      <w:pPr>
        <w:spacing w:line="480" w:lineRule="exact"/>
        <w:rPr>
          <w:rFonts w:hint="eastAsia" w:ascii="宋体" w:hAnsi="宋体" w:eastAsia="宋体" w:cs="宋体"/>
          <w:color w:val="000000" w:themeColor="text1"/>
          <w:sz w:val="24"/>
          <w:szCs w:val="24"/>
          <w14:textFill>
            <w14:solidFill>
              <w14:schemeClr w14:val="tx1"/>
            </w14:solidFill>
          </w14:textFill>
        </w:rPr>
      </w:pPr>
    </w:p>
    <w:p>
      <w:pPr>
        <w:spacing w:line="480" w:lineRule="exact"/>
        <w:ind w:firstLine="4200" w:firstLineChars="1750"/>
        <w:rPr>
          <w:rFonts w:hint="eastAsia" w:ascii="宋体" w:hAnsi="宋体" w:eastAsia="宋体" w:cs="宋体"/>
          <w:color w:val="000000" w:themeColor="text1"/>
          <w:sz w:val="24"/>
          <w:szCs w:val="24"/>
          <w14:textFill>
            <w14:solidFill>
              <w14:schemeClr w14:val="tx1"/>
            </w14:solidFill>
          </w14:textFill>
        </w:rPr>
      </w:pPr>
    </w:p>
    <w:p>
      <w:pPr>
        <w:pStyle w:val="2"/>
        <w:ind w:left="680" w:firstLine="480"/>
        <w:rPr>
          <w:rFonts w:hint="eastAsia" w:ascii="宋体" w:hAnsi="宋体" w:eastAsia="宋体" w:cs="宋体"/>
          <w:color w:val="000000" w:themeColor="text1"/>
          <w:sz w:val="24"/>
          <w:szCs w:val="24"/>
          <w14:textFill>
            <w14:solidFill>
              <w14:schemeClr w14:val="tx1"/>
            </w14:solidFill>
          </w14:textFill>
        </w:rPr>
      </w:pPr>
    </w:p>
    <w:p>
      <w:pPr>
        <w:pStyle w:val="29"/>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ind w:left="680" w:firstLine="480"/>
        <w:rPr>
          <w:rFonts w:hint="eastAsia" w:ascii="宋体" w:hAnsi="宋体" w:eastAsia="宋体" w:cs="宋体"/>
          <w:color w:val="000000" w:themeColor="text1"/>
          <w:sz w:val="24"/>
          <w:szCs w:val="24"/>
          <w14:textFill>
            <w14:solidFill>
              <w14:schemeClr w14:val="tx1"/>
            </w14:solidFill>
          </w14:textFill>
        </w:rPr>
      </w:pPr>
    </w:p>
    <w:p>
      <w:pPr>
        <w:spacing w:line="500" w:lineRule="exact"/>
        <w:ind w:firstLine="5040" w:firstLineChars="2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投标人全称（公章）：</w:t>
      </w:r>
    </w:p>
    <w:p>
      <w:pPr>
        <w:spacing w:line="500" w:lineRule="exact"/>
        <w:ind w:firstLine="5040" w:firstLineChars="21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bookmarkEnd w:id="18"/>
    </w:p>
    <w:p>
      <w:pPr>
        <w:snapToGrid w:val="0"/>
        <w:spacing w:before="50" w:after="50"/>
        <w:jc w:val="center"/>
        <w:rPr>
          <w:rFonts w:hint="eastAsia" w:ascii="宋体" w:hAnsi="宋体" w:eastAsia="宋体" w:cs="宋体"/>
          <w:b/>
          <w:bCs/>
          <w:color w:val="000000" w:themeColor="text1"/>
          <w:sz w:val="24"/>
          <w:szCs w:val="24"/>
          <w14:textFill>
            <w14:solidFill>
              <w14:schemeClr w14:val="tx1"/>
            </w14:solidFill>
          </w14:textFill>
        </w:rPr>
      </w:pPr>
    </w:p>
    <w:p>
      <w:pPr>
        <w:pStyle w:val="18"/>
        <w:ind w:firstLine="241"/>
        <w:rPr>
          <w:rFonts w:hint="eastAsia" w:ascii="宋体" w:hAnsi="宋体" w:eastAsia="宋体" w:cs="宋体"/>
          <w:b/>
          <w:bCs/>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24"/>
          <w:szCs w:val="24"/>
          <w14:textFill>
            <w14:solidFill>
              <w14:schemeClr w14:val="tx1"/>
            </w14:solidFill>
          </w14:textFill>
        </w:rPr>
      </w:pPr>
    </w:p>
    <w:p>
      <w:pPr>
        <w:pStyle w:val="18"/>
        <w:ind w:firstLine="241"/>
        <w:rPr>
          <w:rFonts w:hint="eastAsia" w:ascii="宋体" w:hAnsi="宋体" w:eastAsia="宋体" w:cs="宋体"/>
          <w:b/>
          <w:bCs/>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24"/>
          <w:szCs w:val="24"/>
          <w14:textFill>
            <w14:solidFill>
              <w14:schemeClr w14:val="tx1"/>
            </w14:solidFill>
          </w14:textFill>
        </w:rPr>
      </w:pPr>
    </w:p>
    <w:p>
      <w:pPr>
        <w:pStyle w:val="18"/>
        <w:ind w:firstLine="241"/>
        <w:rPr>
          <w:rFonts w:hint="eastAsia" w:ascii="宋体" w:hAnsi="宋体" w:eastAsia="宋体" w:cs="宋体"/>
          <w:b/>
          <w:bCs/>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24"/>
          <w:szCs w:val="24"/>
          <w14:textFill>
            <w14:solidFill>
              <w14:schemeClr w14:val="tx1"/>
            </w14:solidFill>
          </w14:textFill>
        </w:rPr>
      </w:pPr>
    </w:p>
    <w:p>
      <w:pPr>
        <w:pStyle w:val="18"/>
        <w:ind w:firstLine="241"/>
        <w:rPr>
          <w:rFonts w:hint="eastAsia" w:ascii="宋体" w:hAnsi="宋体" w:eastAsia="宋体" w:cs="宋体"/>
          <w:b/>
          <w:bCs/>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24"/>
          <w:szCs w:val="24"/>
          <w14:textFill>
            <w14:solidFill>
              <w14:schemeClr w14:val="tx1"/>
            </w14:solidFill>
          </w14:textFill>
        </w:rPr>
      </w:pPr>
    </w:p>
    <w:p>
      <w:pPr>
        <w:pStyle w:val="18"/>
        <w:ind w:firstLine="241"/>
        <w:rPr>
          <w:rFonts w:hint="eastAsia" w:ascii="宋体" w:hAnsi="宋体" w:eastAsia="宋体" w:cs="宋体"/>
          <w:b/>
          <w:bCs/>
          <w:color w:val="000000" w:themeColor="text1"/>
          <w:sz w:val="24"/>
          <w:szCs w:val="24"/>
          <w14:textFill>
            <w14:solidFill>
              <w14:schemeClr w14:val="tx1"/>
            </w14:solidFill>
          </w14:textFill>
        </w:rPr>
      </w:pPr>
    </w:p>
    <w:p>
      <w:pP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pPr>
        <w:snapToGrid w:val="0"/>
        <w:spacing w:before="50" w:after="5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2.法定代表人授权委托书</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金华市金婺实业有限公司 、金华市天盈财务咨询有限公司：</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法定代表人------------------------授权------------------------------（全权代表姓名）为全权代表，参加贵公司组织的-------------------------------------招标活动，全权处理招标活动中的一切事宜。</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法定代表人签字：</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全权代表姓名：</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详细通讯地址：</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p>
      <w:pPr>
        <w:snapToGrid w:val="0"/>
        <w:spacing w:before="50" w:after="50"/>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p>
      <w:pPr>
        <w:snapToGrid w:val="0"/>
        <w:spacing w:before="50" w:after="50"/>
        <w:ind w:firstLine="480" w:firstLineChars="200"/>
        <w:rPr>
          <w:rFonts w:hint="eastAsia" w:ascii="宋体" w:hAnsi="宋体" w:eastAsia="宋体" w:cs="宋体"/>
          <w:color w:val="000000" w:themeColor="text1"/>
          <w:sz w:val="24"/>
          <w:szCs w:val="24"/>
          <w14:textFill>
            <w14:solidFill>
              <w14:schemeClr w14:val="tx1"/>
            </w14:solidFill>
          </w14:textFill>
        </w:rPr>
      </w:pPr>
    </w:p>
    <w:p>
      <w:pPr>
        <w:snapToGrid w:val="0"/>
        <w:spacing w:before="50" w:after="50"/>
        <w:ind w:firstLine="480" w:firstLineChars="200"/>
        <w:rPr>
          <w:rFonts w:hint="eastAsia" w:ascii="宋体" w:hAnsi="宋体" w:eastAsia="宋体" w:cs="宋体"/>
          <w:color w:val="000000" w:themeColor="text1"/>
          <w:sz w:val="24"/>
          <w:szCs w:val="24"/>
          <w14:textFill>
            <w14:solidFill>
              <w14:schemeClr w14:val="tx1"/>
            </w14:solidFill>
          </w14:textFill>
        </w:rPr>
      </w:pPr>
    </w:p>
    <w:p>
      <w:pPr>
        <w:snapToGrid w:val="0"/>
        <w:spacing w:before="50" w:after="50"/>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法定代表人身份证（正反面）复印件粘贴处</w:t>
      </w:r>
    </w:p>
    <w:p>
      <w:pPr>
        <w:snapToGrid w:val="0"/>
        <w:spacing w:before="50" w:after="50"/>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授权代表身份证（正反面）复印件粘贴处</w:t>
      </w:r>
    </w:p>
    <w:p>
      <w:pPr>
        <w:snapToGrid w:val="0"/>
        <w:spacing w:before="50" w:after="50"/>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6480" w:firstLineChars="2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投标人全称（公章）：</w:t>
      </w:r>
    </w:p>
    <w:p>
      <w:pPr>
        <w:snapToGrid w:val="0"/>
        <w:spacing w:before="50" w:after="50"/>
        <w:ind w:firstLine="6600" w:firstLineChars="27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snapToGrid w:val="0"/>
        <w:spacing w:before="50" w:after="50"/>
        <w:ind w:firstLine="6360" w:firstLineChars="2650"/>
        <w:rPr>
          <w:rFonts w:hint="eastAsia" w:ascii="宋体" w:hAnsi="宋体" w:eastAsia="宋体" w:cs="宋体"/>
          <w:color w:val="000000" w:themeColor="text1"/>
          <w:sz w:val="24"/>
          <w:szCs w:val="24"/>
          <w14:textFill>
            <w14:solidFill>
              <w14:schemeClr w14:val="tx1"/>
            </w14:solidFill>
          </w14:textFill>
        </w:rPr>
      </w:pPr>
    </w:p>
    <w:p>
      <w:pPr>
        <w:snapToGrid w:val="0"/>
        <w:spacing w:before="50" w:after="5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pPr>
        <w:numPr>
          <w:ilvl w:val="255"/>
          <w:numId w:val="0"/>
        </w:numPr>
        <w:snapToGrid w:val="0"/>
        <w:spacing w:before="50" w:after="50"/>
        <w:jc w:val="center"/>
        <w:rPr>
          <w:rFonts w:hint="eastAsia" w:ascii="宋体" w:hAnsi="宋体" w:eastAsia="宋体" w:cs="宋体"/>
          <w:b/>
          <w:bCs/>
          <w:sz w:val="24"/>
          <w:szCs w:val="24"/>
        </w:rPr>
      </w:pPr>
      <w:r>
        <w:rPr>
          <w:rFonts w:hint="eastAsia" w:ascii="宋体" w:hAnsi="宋体" w:eastAsia="宋体" w:cs="宋体"/>
          <w:b/>
          <w:bCs/>
          <w:sz w:val="24"/>
          <w:szCs w:val="24"/>
        </w:rPr>
        <w:t>3.符合参加本项目采购活动应当具备的资格条件的承诺函</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eastAsia="zh-CN"/>
        </w:rPr>
        <w:t>招标人</w:t>
      </w:r>
      <w:r>
        <w:rPr>
          <w:rFonts w:hint="eastAsia" w:ascii="宋体" w:hAnsi="宋体" w:eastAsia="宋体" w:cs="宋体"/>
          <w:sz w:val="21"/>
          <w:szCs w:val="21"/>
        </w:rPr>
        <w:t>）、（采购代理机构）：</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我方参与（项目名称）【项目编号：（采购编号）】政府采购活动，郑重承诺：</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（一）具备《中华人民共和国政府采购法》第二十二条第一款规定的条件：</w:t>
      </w:r>
    </w:p>
    <w:p>
      <w:pPr>
        <w:snapToGrid w:val="0"/>
        <w:spacing w:line="500" w:lineRule="exact"/>
        <w:ind w:firstLine="422" w:firstLineChars="20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1.具有独立承担民事责任的能力；</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2.具有良好的商业信誉和健全的财务会计制度； </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6.具有法律、行政法规规定的其他条件。</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（二）未被信用中国（www.creditchina.gov.cn)、中国政府采购网（www.ccgp.gov.cn）列入失信被执行人、重大税收违法案件当事人名单、政府采购严重违法失信行为记录名单。</w:t>
      </w:r>
    </w:p>
    <w:p>
      <w:pPr>
        <w:snapToGrid w:val="0"/>
        <w:spacing w:line="5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（三）特定资格要求：</w:t>
      </w:r>
      <w:r>
        <w:rPr>
          <w:rFonts w:hint="eastAsia" w:ascii="宋体" w:hAnsi="宋体" w:eastAsia="宋体" w:cs="宋体"/>
          <w:sz w:val="21"/>
          <w:szCs w:val="21"/>
          <w:u w:val="single"/>
        </w:rPr>
        <w:t xml:space="preserve">                      （根据公开招</w:t>
      </w:r>
      <w:r>
        <w:rPr>
          <w:rFonts w:hint="eastAsia" w:ascii="宋体" w:hAnsi="宋体" w:eastAsia="宋体" w:cs="宋体"/>
          <w:sz w:val="21"/>
          <w:szCs w:val="21"/>
          <w:u w:val="single"/>
          <w:lang w:val="en-US" w:eastAsia="zh-CN"/>
        </w:rPr>
        <w:t>选</w:t>
      </w:r>
      <w:r>
        <w:rPr>
          <w:rFonts w:hint="eastAsia" w:ascii="宋体" w:hAnsi="宋体" w:eastAsia="宋体" w:cs="宋体"/>
          <w:sz w:val="21"/>
          <w:szCs w:val="21"/>
          <w:u w:val="single"/>
        </w:rPr>
        <w:t>公告中本项目的特定资格要求提供相应的材料；未要求的，无需提供，填“无”） 。</w:t>
      </w:r>
    </w:p>
    <w:p>
      <w:pPr>
        <w:spacing w:line="300" w:lineRule="auto"/>
        <w:ind w:firstLine="840" w:firstLineChars="400"/>
        <w:rPr>
          <w:rFonts w:hint="eastAsia" w:ascii="宋体" w:hAnsi="宋体" w:eastAsia="宋体" w:cs="宋体"/>
          <w:sz w:val="21"/>
          <w:szCs w:val="21"/>
        </w:rPr>
      </w:pPr>
    </w:p>
    <w:p>
      <w:pPr>
        <w:spacing w:line="300" w:lineRule="auto"/>
        <w:ind w:firstLine="4830" w:firstLineChars="2300"/>
        <w:rPr>
          <w:rFonts w:hint="eastAsia" w:ascii="宋体" w:hAnsi="宋体" w:eastAsia="宋体" w:cs="宋体"/>
          <w:sz w:val="21"/>
          <w:szCs w:val="21"/>
        </w:rPr>
      </w:pPr>
    </w:p>
    <w:p>
      <w:pPr>
        <w:spacing w:line="300" w:lineRule="auto"/>
        <w:ind w:firstLine="4830" w:firstLineChars="2300"/>
        <w:rPr>
          <w:rFonts w:hint="eastAsia" w:ascii="宋体" w:hAnsi="宋体" w:eastAsia="宋体" w:cs="宋体"/>
          <w:sz w:val="21"/>
          <w:szCs w:val="21"/>
        </w:rPr>
      </w:pPr>
      <w:r>
        <w:rPr>
          <w:rFonts w:hint="eastAsia" w:ascii="宋体" w:hAnsi="宋体" w:eastAsia="宋体" w:cs="宋体"/>
          <w:sz w:val="21"/>
          <w:szCs w:val="21"/>
        </w:rPr>
        <w:t xml:space="preserve">投标人全称（加盖公章）：                                 </w:t>
      </w:r>
    </w:p>
    <w:p>
      <w:pPr>
        <w:spacing w:line="300" w:lineRule="auto"/>
        <w:ind w:firstLine="4830" w:firstLineChars="2300"/>
        <w:rPr>
          <w:rFonts w:hint="eastAsia" w:ascii="宋体" w:hAnsi="宋体" w:eastAsia="宋体" w:cs="宋体"/>
          <w:sz w:val="21"/>
          <w:szCs w:val="21"/>
        </w:rPr>
      </w:pPr>
      <w:r>
        <w:rPr>
          <w:rFonts w:hint="eastAsia" w:ascii="宋体" w:hAnsi="宋体" w:eastAsia="宋体" w:cs="宋体"/>
          <w:sz w:val="21"/>
          <w:szCs w:val="21"/>
        </w:rPr>
        <w:t>日期：    年  月   日</w:t>
      </w:r>
    </w:p>
    <w:p>
      <w:pPr>
        <w:snapToGrid w:val="0"/>
        <w:spacing w:before="50" w:after="50"/>
        <w:jc w:val="center"/>
        <w:rPr>
          <w:rFonts w:hint="eastAsia" w:ascii="宋体" w:hAnsi="宋体" w:eastAsia="宋体" w:cs="宋体"/>
          <w:b/>
          <w:bCs/>
          <w:sz w:val="24"/>
          <w:szCs w:val="24"/>
        </w:rPr>
      </w:pPr>
    </w:p>
    <w:p>
      <w:pPr>
        <w:snapToGrid w:val="0"/>
        <w:spacing w:beforeLines="50" w:after="50"/>
        <w:jc w:val="center"/>
        <w:rPr>
          <w:rFonts w:hint="eastAsia" w:ascii="宋体" w:hAnsi="宋体" w:eastAsia="宋体" w:cs="宋体"/>
          <w:b/>
          <w:color w:val="000000" w:themeColor="text1"/>
          <w:sz w:val="24"/>
          <w:szCs w:val="24"/>
          <w14:textFill>
            <w14:solidFill>
              <w14:schemeClr w14:val="tx1"/>
            </w14:solidFill>
          </w14:textFill>
        </w:rPr>
      </w:pPr>
    </w:p>
    <w:p>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pPr>
        <w:snapToGrid w:val="0"/>
        <w:spacing w:beforeLines="50" w:after="5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4.投标单位基本情况表</w:t>
      </w:r>
    </w:p>
    <w:p>
      <w:pPr>
        <w:snapToGrid w:val="0"/>
        <w:spacing w:beforeLines="50" w:after="50"/>
        <w:jc w:val="center"/>
        <w:rPr>
          <w:rFonts w:hint="eastAsia" w:ascii="宋体" w:hAnsi="宋体" w:eastAsia="宋体" w:cs="宋体"/>
          <w:b/>
          <w:color w:val="000000" w:themeColor="text1"/>
          <w:sz w:val="24"/>
          <w:szCs w:val="24"/>
          <w14:textFill>
            <w14:solidFill>
              <w14:schemeClr w14:val="tx1"/>
            </w14:solidFill>
          </w14:textFill>
        </w:rPr>
      </w:pPr>
    </w:p>
    <w:tbl>
      <w:tblPr>
        <w:tblStyle w:val="19"/>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963"/>
        <w:gridCol w:w="1218"/>
        <w:gridCol w:w="1218"/>
        <w:gridCol w:w="1218"/>
        <w:gridCol w:w="1219"/>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tcBorders>
              <w:top w:val="single" w:color="auto" w:sz="12"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7896" w:type="dxa"/>
            <w:gridSpan w:val="6"/>
            <w:tcBorders>
              <w:top w:val="single" w:color="auto" w:sz="12"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3399" w:type="dxa"/>
            <w:gridSpan w:val="3"/>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3279"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本地常驻机构地址</w:t>
            </w:r>
          </w:p>
        </w:tc>
        <w:tc>
          <w:tcPr>
            <w:tcW w:w="7896" w:type="dxa"/>
            <w:gridSpan w:val="6"/>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Merge w:val="restart"/>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6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436"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3279"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Merge w:val="continue"/>
            <w:vAlign w:val="center"/>
          </w:tcPr>
          <w:p>
            <w:pPr>
              <w:widowControl/>
              <w:rPr>
                <w:rFonts w:hint="eastAsia" w:ascii="宋体" w:hAnsi="宋体" w:eastAsia="宋体" w:cs="宋体"/>
                <w:color w:val="000000" w:themeColor="text1"/>
                <w:sz w:val="24"/>
                <w:szCs w:val="24"/>
                <w14:textFill>
                  <w14:solidFill>
                    <w14:schemeClr w14:val="tx1"/>
                  </w14:solidFill>
                </w14:textFill>
              </w:rPr>
            </w:pPr>
          </w:p>
        </w:tc>
        <w:tc>
          <w:tcPr>
            <w:tcW w:w="96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2436"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 址</w:t>
            </w:r>
          </w:p>
        </w:tc>
        <w:tc>
          <w:tcPr>
            <w:tcW w:w="3279"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组织结构</w:t>
            </w:r>
          </w:p>
        </w:tc>
        <w:tc>
          <w:tcPr>
            <w:tcW w:w="7896" w:type="dxa"/>
            <w:gridSpan w:val="6"/>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96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9"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2060"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技术负责人</w:t>
            </w:r>
          </w:p>
        </w:tc>
        <w:tc>
          <w:tcPr>
            <w:tcW w:w="96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技术职称</w:t>
            </w: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9"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2060"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p>
        </w:tc>
        <w:tc>
          <w:tcPr>
            <w:tcW w:w="2181"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5715" w:type="dxa"/>
            <w:gridSpan w:val="4"/>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企业资质等级</w:t>
            </w:r>
          </w:p>
        </w:tc>
        <w:tc>
          <w:tcPr>
            <w:tcW w:w="2181"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Merge w:val="restart"/>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其中</w:t>
            </w: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项目负责人</w:t>
            </w:r>
          </w:p>
        </w:tc>
        <w:tc>
          <w:tcPr>
            <w:tcW w:w="3279"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181"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Merge w:val="continue"/>
            <w:vAlign w:val="center"/>
          </w:tcPr>
          <w:p>
            <w:pPr>
              <w:widowControl/>
              <w:rPr>
                <w:rFonts w:hint="eastAsia" w:ascii="宋体" w:hAnsi="宋体" w:eastAsia="宋体" w:cs="宋体"/>
                <w:color w:val="000000" w:themeColor="text1"/>
                <w:sz w:val="24"/>
                <w:szCs w:val="24"/>
                <w14:textFill>
                  <w14:solidFill>
                    <w14:schemeClr w14:val="tx1"/>
                  </w14:solidFill>
                </w14:textFill>
              </w:rPr>
            </w:pP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高级职称人员</w:t>
            </w:r>
          </w:p>
        </w:tc>
        <w:tc>
          <w:tcPr>
            <w:tcW w:w="3279"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181"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Merge w:val="continue"/>
            <w:vAlign w:val="center"/>
          </w:tcPr>
          <w:p>
            <w:pPr>
              <w:widowControl/>
              <w:rPr>
                <w:rFonts w:hint="eastAsia" w:ascii="宋体" w:hAnsi="宋体" w:eastAsia="宋体" w:cs="宋体"/>
                <w:color w:val="000000" w:themeColor="text1"/>
                <w:sz w:val="24"/>
                <w:szCs w:val="24"/>
                <w14:textFill>
                  <w14:solidFill>
                    <w14:schemeClr w14:val="tx1"/>
                  </w14:solidFill>
                </w14:textFill>
              </w:rPr>
            </w:pP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中级职称人员</w:t>
            </w:r>
          </w:p>
        </w:tc>
        <w:tc>
          <w:tcPr>
            <w:tcW w:w="3279"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181"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Merge w:val="continue"/>
            <w:vAlign w:val="center"/>
          </w:tcPr>
          <w:p>
            <w:pPr>
              <w:widowControl/>
              <w:rPr>
                <w:rFonts w:hint="eastAsia" w:ascii="宋体" w:hAnsi="宋体" w:eastAsia="宋体" w:cs="宋体"/>
                <w:color w:val="000000" w:themeColor="text1"/>
                <w:sz w:val="24"/>
                <w:szCs w:val="24"/>
                <w14:textFill>
                  <w14:solidFill>
                    <w14:schemeClr w14:val="tx1"/>
                  </w14:solidFill>
                </w14:textFill>
              </w:rPr>
            </w:pP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初级职称人员</w:t>
            </w:r>
          </w:p>
        </w:tc>
        <w:tc>
          <w:tcPr>
            <w:tcW w:w="3279"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账号</w:t>
            </w:r>
          </w:p>
        </w:tc>
        <w:tc>
          <w:tcPr>
            <w:tcW w:w="2181"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c>
          <w:tcPr>
            <w:tcW w:w="1218" w:type="dxa"/>
            <w:vMerge w:val="continue"/>
            <w:vAlign w:val="center"/>
          </w:tcPr>
          <w:p>
            <w:pPr>
              <w:widowControl/>
              <w:rPr>
                <w:rFonts w:hint="eastAsia" w:ascii="宋体" w:hAnsi="宋体" w:eastAsia="宋体" w:cs="宋体"/>
                <w:color w:val="000000" w:themeColor="text1"/>
                <w:sz w:val="24"/>
                <w:szCs w:val="24"/>
                <w14:textFill>
                  <w14:solidFill>
                    <w14:schemeClr w14:val="tx1"/>
                  </w14:solidFill>
                </w14:textFill>
              </w:rPr>
            </w:pPr>
          </w:p>
        </w:tc>
        <w:tc>
          <w:tcPr>
            <w:tcW w:w="1218"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  工</w:t>
            </w:r>
          </w:p>
        </w:tc>
        <w:tc>
          <w:tcPr>
            <w:tcW w:w="3279" w:type="dxa"/>
            <w:gridSpan w:val="2"/>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5"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7896" w:type="dxa"/>
            <w:gridSpan w:val="6"/>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5" w:hRule="atLeast"/>
          <w:jc w:val="center"/>
        </w:trPr>
        <w:tc>
          <w:tcPr>
            <w:tcW w:w="1473"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投标人拥有的苗木基地情况</w:t>
            </w:r>
          </w:p>
        </w:tc>
        <w:tc>
          <w:tcPr>
            <w:tcW w:w="7896" w:type="dxa"/>
            <w:gridSpan w:val="6"/>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基地土地产权证明（或租赁协议）附后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73" w:type="dxa"/>
            <w:tcBorders>
              <w:bottom w:val="single" w:color="auto" w:sz="12"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c>
          <w:tcPr>
            <w:tcW w:w="7896" w:type="dxa"/>
            <w:gridSpan w:val="6"/>
            <w:tcBorders>
              <w:bottom w:val="single" w:color="auto" w:sz="12"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b/>
          <w:color w:val="000000" w:themeColor="text1"/>
          <w:sz w:val="24"/>
          <w:szCs w:val="24"/>
          <w14:textFill>
            <w14:solidFill>
              <w14:schemeClr w14:val="tx1"/>
            </w14:solidFill>
          </w14:textFill>
        </w:rPr>
      </w:pPr>
    </w:p>
    <w:p>
      <w:pPr>
        <w:widowControl/>
        <w:autoSpaceDE/>
        <w:autoSpaceDN/>
        <w:snapToGrid w:val="0"/>
        <w:spacing w:beforeLines="50" w:after="50" w:line="240" w:lineRule="auto"/>
        <w:ind w:firstLine="0" w:firstLineChars="0"/>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5</w:t>
      </w:r>
      <w:r>
        <w:rPr>
          <w:rFonts w:hint="eastAsia" w:ascii="宋体" w:hAnsi="宋体" w:eastAsia="宋体" w:cs="宋体"/>
          <w:b/>
          <w:color w:val="000000" w:themeColor="text1"/>
          <w:sz w:val="24"/>
          <w:szCs w:val="24"/>
          <w14:textFill>
            <w14:solidFill>
              <w14:schemeClr w14:val="tx1"/>
            </w14:solidFill>
          </w14:textFill>
        </w:rPr>
        <w:t>.营业执照副本</w:t>
      </w:r>
      <w:r>
        <w:rPr>
          <w:rFonts w:hint="eastAsia" w:ascii="宋体" w:hAnsi="宋体" w:eastAsia="宋体" w:cs="宋体"/>
          <w:b/>
          <w:color w:val="000000" w:themeColor="text1"/>
          <w:sz w:val="24"/>
          <w:szCs w:val="24"/>
          <w:lang w:val="en-US" w:eastAsia="zh-CN"/>
          <w14:textFill>
            <w14:solidFill>
              <w14:schemeClr w14:val="tx1"/>
            </w14:solidFill>
          </w14:textFill>
        </w:rPr>
        <w:t>等</w:t>
      </w:r>
      <w:r>
        <w:rPr>
          <w:rFonts w:hint="eastAsia" w:ascii="宋体" w:hAnsi="宋体" w:eastAsia="宋体" w:cs="宋体"/>
          <w:b/>
          <w:color w:val="000000" w:themeColor="text1"/>
          <w:sz w:val="24"/>
          <w:szCs w:val="24"/>
          <w14:textFill>
            <w14:solidFill>
              <w14:schemeClr w14:val="tx1"/>
            </w14:solidFill>
          </w14:textFill>
        </w:rPr>
        <w:t>相关证书；</w:t>
      </w:r>
    </w:p>
    <w:p>
      <w:pPr>
        <w:rPr>
          <w:rFonts w:hint="eastAsia" w:ascii="宋体" w:hAnsi="宋体" w:eastAsia="宋体" w:cs="宋体"/>
          <w:b/>
          <w:color w:val="000000" w:themeColor="text1"/>
          <w:sz w:val="24"/>
          <w:szCs w:val="24"/>
          <w14:textFill>
            <w14:solidFill>
              <w14:schemeClr w14:val="tx1"/>
            </w14:solidFill>
          </w14:textFill>
        </w:rPr>
      </w:pPr>
    </w:p>
    <w:p>
      <w:pPr>
        <w:numPr>
          <w:ilvl w:val="0"/>
          <w:numId w:val="5"/>
        </w:num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pPr>
        <w:spacing w:line="480" w:lineRule="auto"/>
        <w:jc w:val="center"/>
        <w:rPr>
          <w:rFonts w:hint="eastAsia" w:ascii="宋体" w:hAnsi="宋体" w:eastAsia="宋体" w:cs="宋体"/>
          <w:b/>
          <w:bCs/>
          <w:spacing w:val="20"/>
          <w:sz w:val="24"/>
          <w:szCs w:val="24"/>
        </w:rPr>
      </w:pPr>
      <w:r>
        <w:rPr>
          <w:rFonts w:hint="eastAsia" w:ascii="宋体" w:hAnsi="宋体" w:eastAsia="宋体" w:cs="宋体"/>
          <w:b/>
          <w:bCs/>
          <w:spacing w:val="20"/>
          <w:sz w:val="24"/>
          <w:szCs w:val="24"/>
          <w:lang w:val="en-US" w:eastAsia="zh-CN"/>
        </w:rPr>
        <w:t>6</w:t>
      </w:r>
      <w:r>
        <w:rPr>
          <w:rFonts w:hint="eastAsia" w:ascii="宋体" w:hAnsi="宋体" w:eastAsia="宋体" w:cs="宋体"/>
          <w:b/>
          <w:bCs/>
          <w:spacing w:val="20"/>
          <w:sz w:val="24"/>
          <w:szCs w:val="24"/>
        </w:rPr>
        <w:t>.承诺书</w:t>
      </w:r>
    </w:p>
    <w:p>
      <w:pPr>
        <w:pStyle w:val="17"/>
        <w:snapToGrid w:val="0"/>
        <w:spacing w:beforeAutospacing="0" w:afterAutospacing="0" w:line="460" w:lineRule="exact"/>
        <w:rPr>
          <w:rFonts w:hint="eastAsia" w:ascii="宋体" w:hAnsi="宋体" w:eastAsia="宋体" w:cs="宋体"/>
          <w:sz w:val="21"/>
          <w:szCs w:val="21"/>
          <w:u w:val="single"/>
        </w:rPr>
      </w:pPr>
      <w:r>
        <w:rPr>
          <w:rFonts w:hint="eastAsia" w:ascii="宋体" w:hAnsi="宋体" w:eastAsia="宋体" w:cs="宋体"/>
          <w:sz w:val="21"/>
          <w:szCs w:val="21"/>
          <w:u w:val="single"/>
        </w:rPr>
        <w:t>（采购单位）：</w:t>
      </w:r>
    </w:p>
    <w:p>
      <w:pPr>
        <w:pStyle w:val="17"/>
        <w:snapToGrid w:val="0"/>
        <w:spacing w:beforeAutospacing="0" w:afterAutospacing="0" w:line="460" w:lineRule="exact"/>
        <w:rPr>
          <w:rFonts w:hint="eastAsia" w:ascii="宋体" w:hAnsi="宋体" w:eastAsia="宋体" w:cs="宋体"/>
          <w:kern w:val="2"/>
          <w:sz w:val="21"/>
          <w:szCs w:val="21"/>
        </w:rPr>
      </w:pPr>
      <w:r>
        <w:rPr>
          <w:rFonts w:hint="eastAsia" w:ascii="宋体" w:hAnsi="宋体" w:eastAsia="宋体" w:cs="宋体"/>
          <w:sz w:val="21"/>
          <w:szCs w:val="21"/>
        </w:rPr>
        <w:t xml:space="preserve">   </w:t>
      </w:r>
      <w:r>
        <w:rPr>
          <w:rFonts w:hint="eastAsia" w:ascii="宋体" w:hAnsi="宋体" w:eastAsia="宋体" w:cs="宋体"/>
          <w:kern w:val="2"/>
          <w:sz w:val="21"/>
          <w:szCs w:val="21"/>
        </w:rPr>
        <w:t xml:space="preserve"> 我方承诺内容如下：</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1.我方承诺递交的所有资料均真实、有效，不弄虚作假。</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2.不转让、出借、涂改、伪造资质（资格）证书或者以其他方式允许其他单位（个人）以</w:t>
      </w:r>
      <w:r>
        <w:rPr>
          <w:rFonts w:hint="eastAsia" w:ascii="宋体" w:hAnsi="宋体" w:eastAsia="宋体" w:cs="宋体"/>
          <w:sz w:val="21"/>
          <w:szCs w:val="21"/>
        </w:rPr>
        <w:t>我方</w:t>
      </w:r>
      <w:r>
        <w:rPr>
          <w:rFonts w:hint="eastAsia" w:ascii="宋体" w:hAnsi="宋体" w:eastAsia="宋体" w:cs="宋体"/>
          <w:kern w:val="2"/>
          <w:sz w:val="21"/>
          <w:szCs w:val="21"/>
        </w:rPr>
        <w:t>（本人）名义承揽业务。</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3.不与招标人或者其他参选人相互串通参选，围标，不以行贿等不正当手段谋取中选。</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4.若入围，我方承诺保证按招标人要求的时间、内容、质量、安全标准及有关施工技术规范、规程、强制性条文和安全文明施工规定完成全部工作量，精心组织，确保项目的服务（或施工）质量、安全，决不无故拖延工期。</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5.积极主动配合贵单位或相关监管部门的核查。及时、如实、全面地回答问题，并在核查记录中签字确认。如拒绝签字确认的，则视为我方及有关工作人员认可核查记录中的全部内容，并对最终的核查结果无任何异议，且自愿放弃一切申诉权利。</w:t>
      </w:r>
    </w:p>
    <w:p>
      <w:pPr>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上述承诺事项已认真逐项核对，均表达我方真实意见，愿承担任何责任。如我方违反上述承诺事项，招标人可无条件取消我方中选资格，我方接受招标人或相关监管部门作出的任何管理和处理决定，并自愿承担一切不利的后果。</w:t>
      </w:r>
    </w:p>
    <w:p>
      <w:pPr>
        <w:snapToGrid w:val="0"/>
        <w:spacing w:line="460" w:lineRule="exact"/>
        <w:rPr>
          <w:rFonts w:hint="eastAsia" w:ascii="宋体" w:hAnsi="宋体" w:eastAsia="宋体" w:cs="宋体"/>
          <w:sz w:val="21"/>
          <w:szCs w:val="21"/>
        </w:rPr>
      </w:pPr>
    </w:p>
    <w:p>
      <w:pPr>
        <w:snapToGrid w:val="0"/>
        <w:spacing w:line="460" w:lineRule="exact"/>
        <w:rPr>
          <w:rFonts w:hint="eastAsia" w:ascii="宋体" w:hAnsi="宋体" w:eastAsia="宋体" w:cs="宋体"/>
          <w:sz w:val="21"/>
          <w:szCs w:val="21"/>
        </w:rPr>
      </w:pPr>
      <w:r>
        <w:rPr>
          <w:rFonts w:hint="eastAsia" w:ascii="宋体" w:hAnsi="宋体" w:eastAsia="宋体" w:cs="宋体"/>
          <w:sz w:val="21"/>
          <w:szCs w:val="21"/>
        </w:rPr>
        <w:t>投标人名称（盖章）：</w:t>
      </w:r>
    </w:p>
    <w:p>
      <w:pPr>
        <w:snapToGrid w:val="0"/>
        <w:spacing w:line="460" w:lineRule="exact"/>
        <w:rPr>
          <w:rFonts w:hint="eastAsia" w:ascii="宋体" w:hAnsi="宋体" w:eastAsia="宋体" w:cs="宋体"/>
          <w:sz w:val="21"/>
          <w:szCs w:val="21"/>
        </w:rPr>
      </w:pPr>
      <w:r>
        <w:rPr>
          <w:rFonts w:hint="eastAsia" w:ascii="宋体" w:hAnsi="宋体" w:eastAsia="宋体" w:cs="宋体"/>
          <w:sz w:val="21"/>
          <w:szCs w:val="21"/>
        </w:rPr>
        <w:t xml:space="preserve">法定代表人或其授权的委托代理人（签字或盖章）：   </w:t>
      </w:r>
    </w:p>
    <w:p>
      <w:pPr>
        <w:snapToGrid w:val="0"/>
        <w:spacing w:line="460" w:lineRule="exact"/>
        <w:jc w:val="center"/>
        <w:rPr>
          <w:rFonts w:hint="eastAsia" w:ascii="宋体" w:hAnsi="宋体" w:eastAsia="宋体" w:cs="宋体"/>
          <w:sz w:val="24"/>
        </w:rPr>
      </w:pPr>
      <w:r>
        <w:rPr>
          <w:rFonts w:hint="eastAsia" w:ascii="宋体" w:hAnsi="宋体" w:eastAsia="宋体" w:cs="宋体"/>
          <w:sz w:val="21"/>
          <w:szCs w:val="21"/>
        </w:rPr>
        <w:t>日期： 年  月  日</w:t>
      </w:r>
      <w:r>
        <w:rPr>
          <w:rFonts w:hint="eastAsia" w:ascii="宋体" w:hAnsi="宋体" w:eastAsia="宋体" w:cs="宋体"/>
          <w:sz w:val="21"/>
          <w:szCs w:val="21"/>
        </w:rPr>
        <w:br w:type="textWrapping"/>
      </w:r>
    </w:p>
    <w:p>
      <w:pPr>
        <w:snapToGrid w:val="0"/>
        <w:spacing w:line="460" w:lineRule="exact"/>
        <w:rPr>
          <w:rFonts w:hint="eastAsia" w:ascii="宋体" w:hAnsi="宋体" w:eastAsia="宋体" w:cs="宋体"/>
          <w:sz w:val="24"/>
        </w:rPr>
      </w:pPr>
      <w:r>
        <w:rPr>
          <w:rFonts w:hint="eastAsia" w:ascii="宋体" w:hAnsi="宋体" w:eastAsia="宋体" w:cs="宋体"/>
          <w:sz w:val="24"/>
        </w:rPr>
        <w:br w:type="page"/>
      </w:r>
    </w:p>
    <w:p>
      <w:pPr>
        <w:spacing w:line="50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7</w:t>
      </w:r>
      <w:r>
        <w:rPr>
          <w:rFonts w:hint="eastAsia" w:ascii="宋体" w:hAnsi="宋体" w:eastAsia="宋体" w:cs="宋体"/>
          <w:b/>
          <w:sz w:val="21"/>
          <w:szCs w:val="21"/>
        </w:rPr>
        <w:t>.响应函</w:t>
      </w:r>
    </w:p>
    <w:p>
      <w:pPr>
        <w:pStyle w:val="17"/>
        <w:spacing w:beforeAutospacing="0" w:afterAutospacing="0" w:line="500" w:lineRule="exact"/>
        <w:rPr>
          <w:rFonts w:hint="eastAsia" w:ascii="宋体" w:hAnsi="宋体" w:eastAsia="宋体" w:cs="宋体"/>
          <w:sz w:val="21"/>
          <w:szCs w:val="21"/>
          <w:u w:val="single"/>
        </w:rPr>
      </w:pPr>
      <w:r>
        <w:rPr>
          <w:rFonts w:hint="eastAsia" w:ascii="宋体" w:hAnsi="宋体" w:eastAsia="宋体" w:cs="宋体"/>
          <w:sz w:val="21"/>
          <w:szCs w:val="21"/>
          <w:u w:val="single"/>
        </w:rPr>
        <w:t>（采购单位）：</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1．我方己仔细研究了</w:t>
      </w:r>
      <w:r>
        <w:rPr>
          <w:rFonts w:hint="eastAsia" w:ascii="宋体" w:hAnsi="宋体" w:eastAsia="宋体" w:cs="宋体"/>
          <w:sz w:val="21"/>
          <w:szCs w:val="21"/>
          <w:u w:val="single"/>
        </w:rPr>
        <w:t xml:space="preserve">                              （项目名称及标号）</w:t>
      </w:r>
      <w:r>
        <w:rPr>
          <w:rFonts w:hint="eastAsia" w:ascii="宋体" w:hAnsi="宋体" w:eastAsia="宋体" w:cs="宋体"/>
          <w:sz w:val="21"/>
          <w:szCs w:val="21"/>
        </w:rPr>
        <w:t>招选文件的全部内容，愿意在入围后参与招标人单个项目询价</w:t>
      </w:r>
      <w:r>
        <w:rPr>
          <w:rFonts w:hint="eastAsia" w:hAnsi="宋体" w:cs="宋体"/>
          <w:sz w:val="21"/>
          <w:szCs w:val="21"/>
          <w:lang w:val="en-US" w:eastAsia="zh-CN"/>
        </w:rPr>
        <w:t>/竞价</w:t>
      </w:r>
      <w:r>
        <w:rPr>
          <w:rFonts w:hint="eastAsia" w:ascii="宋体" w:hAnsi="宋体" w:eastAsia="宋体" w:cs="宋体"/>
          <w:sz w:val="21"/>
          <w:szCs w:val="21"/>
        </w:rPr>
        <w:t>且若遇特殊情况愿意按招标人要求完成分派项目。</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 我方已充分考虑后续项目在实施过程中的一切费用及风险范围、不利因素等，悉知单个项目竞价时的报价包含完成项目所需的人工、机械、材料、设备、管理、交通运输、包装、装卸、差旅、保险、利润、税金、价格涨跌风险等，支付合同价款前须向招标人提供正式发票。承诺单个项目按招标人要求的人员配置和期限完成分配任务且成果质量满足相关规范和招标人要求。</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3．如我方入围：</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（l）我方承诺在收到入围通知书后，在规定的期限内与你方签订</w:t>
      </w:r>
      <w:r>
        <w:rPr>
          <w:rFonts w:hint="eastAsia" w:hAnsi="宋体" w:cs="宋体"/>
          <w:sz w:val="21"/>
          <w:szCs w:val="21"/>
          <w:highlight w:val="yellow"/>
          <w:lang w:val="en-US" w:eastAsia="zh-CN"/>
        </w:rPr>
        <w:t>单项</w:t>
      </w:r>
      <w:r>
        <w:rPr>
          <w:rFonts w:hint="eastAsia" w:ascii="宋体" w:hAnsi="宋体" w:eastAsia="宋体" w:cs="宋体"/>
          <w:sz w:val="21"/>
          <w:szCs w:val="21"/>
        </w:rPr>
        <w:t>合同。</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（2）我方承诺在</w:t>
      </w:r>
      <w:r>
        <w:rPr>
          <w:rFonts w:hint="eastAsia" w:hAnsi="宋体" w:cs="宋体"/>
          <w:sz w:val="21"/>
          <w:szCs w:val="21"/>
          <w:highlight w:val="yellow"/>
          <w:lang w:val="en-US" w:eastAsia="zh-CN"/>
        </w:rPr>
        <w:t>单项</w:t>
      </w:r>
      <w:r>
        <w:rPr>
          <w:rFonts w:hint="eastAsia" w:ascii="宋体" w:hAnsi="宋体" w:eastAsia="宋体" w:cs="宋体"/>
          <w:sz w:val="21"/>
          <w:szCs w:val="21"/>
        </w:rPr>
        <w:t>合同约定的期限内，按本函所报的质量标准完成并移交招标人所分配的工程，且无偿修补工程中的任何缺陷。</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（3）我方承诺按现行金华市住房和城乡建设局（或工程所在地建设主管部门）及国家有关文件规定实行安全文明施工。</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（4）我方承诺遵守招标人的考核制度和管理制度，如有违反愿按规定接受违约处罚并自行承担一切责任及后果。</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 我方清楚明白本次招选的评审标准，我方认可招标人及评审小组的评审结果。</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u w:val="single"/>
        </w:rPr>
        <w:t xml:space="preserve">                             </w:t>
      </w:r>
      <w:r>
        <w:rPr>
          <w:rFonts w:hint="eastAsia" w:ascii="宋体" w:hAnsi="宋体" w:eastAsia="宋体" w:cs="宋体"/>
          <w:sz w:val="21"/>
          <w:szCs w:val="21"/>
        </w:rPr>
        <w:t>（其他补充说明）。</w:t>
      </w: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1"/>
          <w:szCs w:val="21"/>
        </w:rPr>
      </w:pPr>
      <w:r>
        <w:rPr>
          <w:rFonts w:hint="eastAsia" w:ascii="宋体" w:hAnsi="宋体" w:eastAsia="宋体" w:cs="宋体"/>
          <w:sz w:val="21"/>
          <w:szCs w:val="21"/>
        </w:rPr>
        <w:t>投标人名称（盖章）：</w:t>
      </w:r>
    </w:p>
    <w:p>
      <w:pPr>
        <w:spacing w:line="500" w:lineRule="exact"/>
        <w:rPr>
          <w:rFonts w:hint="eastAsia" w:ascii="宋体" w:hAnsi="宋体" w:eastAsia="宋体" w:cs="宋体"/>
          <w:sz w:val="21"/>
          <w:szCs w:val="21"/>
        </w:rPr>
      </w:pPr>
      <w:r>
        <w:rPr>
          <w:rFonts w:hint="eastAsia" w:ascii="宋体" w:hAnsi="宋体" w:eastAsia="宋体" w:cs="宋体"/>
          <w:sz w:val="21"/>
          <w:szCs w:val="21"/>
        </w:rPr>
        <w:t xml:space="preserve">法定代表人（或负责人）或其授权的委托代理人（签字或盖章）：   </w:t>
      </w:r>
    </w:p>
    <w:p>
      <w:pPr>
        <w:spacing w:line="500" w:lineRule="exact"/>
        <w:rPr>
          <w:rFonts w:hint="eastAsia" w:ascii="宋体" w:hAnsi="宋体" w:eastAsia="宋体" w:cs="宋体"/>
          <w:sz w:val="21"/>
          <w:szCs w:val="21"/>
        </w:rPr>
      </w:pPr>
      <w:r>
        <w:rPr>
          <w:rFonts w:hint="eastAsia" w:ascii="宋体" w:hAnsi="宋体" w:eastAsia="宋体" w:cs="宋体"/>
          <w:sz w:val="21"/>
          <w:szCs w:val="21"/>
        </w:rPr>
        <w:t>日期： 年  月  日</w:t>
      </w:r>
    </w:p>
    <w:p>
      <w:pPr>
        <w:pStyle w:val="2"/>
        <w:ind w:left="0" w:leftChars="0" w:firstLine="0" w:firstLineChars="0"/>
        <w:rPr>
          <w:rFonts w:hint="eastAsia" w:ascii="宋体" w:hAnsi="宋体" w:eastAsia="宋体" w:cs="宋体"/>
        </w:rPr>
      </w:pPr>
    </w:p>
    <w:p>
      <w:pPr>
        <w:pStyle w:val="10"/>
        <w:snapToGrid w:val="0"/>
        <w:jc w:val="center"/>
        <w:rPr>
          <w:rFonts w:hint="eastAsia" w:ascii="宋体" w:hAnsi="宋体" w:eastAsia="宋体" w:cs="宋体"/>
          <w:b/>
          <w:color w:val="000000" w:themeColor="text1"/>
          <w:sz w:val="24"/>
          <w:szCs w:val="24"/>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8</w:t>
      </w:r>
      <w:r>
        <w:rPr>
          <w:rFonts w:hint="eastAsia" w:ascii="宋体" w:hAnsi="宋体" w:eastAsia="宋体" w:cs="宋体"/>
          <w:b/>
          <w:color w:val="000000" w:themeColor="text1"/>
          <w:sz w:val="24"/>
          <w:szCs w:val="24"/>
          <w14:textFill>
            <w14:solidFill>
              <w14:schemeClr w14:val="tx1"/>
            </w14:solidFill>
          </w14:textFill>
        </w:rPr>
        <w:t>.20</w:t>
      </w:r>
      <w:r>
        <w:rPr>
          <w:rFonts w:hint="eastAsia" w:ascii="宋体" w:hAnsi="宋体" w:eastAsia="宋体" w:cs="宋体"/>
          <w:b/>
          <w:color w:val="000000" w:themeColor="text1"/>
          <w:sz w:val="24"/>
          <w:szCs w:val="24"/>
          <w:lang w:val="en-US" w:eastAsia="zh-CN"/>
          <w14:textFill>
            <w14:solidFill>
              <w14:schemeClr w14:val="tx1"/>
            </w14:solidFill>
          </w14:textFill>
        </w:rPr>
        <w:t>19</w:t>
      </w:r>
      <w:r>
        <w:rPr>
          <w:rFonts w:hint="eastAsia" w:ascii="宋体" w:hAnsi="宋体" w:eastAsia="宋体" w:cs="宋体"/>
          <w:b/>
          <w:color w:val="000000" w:themeColor="text1"/>
          <w:sz w:val="24"/>
          <w:szCs w:val="24"/>
          <w14:textFill>
            <w14:solidFill>
              <w14:schemeClr w14:val="tx1"/>
            </w14:solidFill>
          </w14:textFill>
        </w:rPr>
        <w:t>年1月1日至今承接项目清单</w:t>
      </w:r>
    </w:p>
    <w:tbl>
      <w:tblPr>
        <w:tblStyle w:val="19"/>
        <w:tblW w:w="86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58"/>
        <w:gridCol w:w="1663"/>
        <w:gridCol w:w="1757"/>
        <w:gridCol w:w="1531"/>
        <w:gridCol w:w="11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合同金额</w:t>
            </w: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业主名称及联系方式</w:t>
            </w: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bl>
    <w:p>
      <w:pPr>
        <w:pStyle w:val="17"/>
        <w:snapToGrid w:val="0"/>
        <w:spacing w:beforeAutospacing="0" w:afterAutospacing="0" w:line="48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注：须附合同复印件。</w:t>
      </w:r>
    </w:p>
    <w:p>
      <w:pPr>
        <w:spacing w:line="500" w:lineRule="exact"/>
        <w:ind w:firstLine="5040" w:firstLineChars="2100"/>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投标人全称（公章）：</w:t>
      </w:r>
    </w:p>
    <w:p>
      <w:pPr>
        <w:snapToGrid w:val="0"/>
        <w:spacing w:line="500" w:lineRule="exact"/>
        <w:ind w:firstLine="4956" w:firstLineChars="2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法定代表人或委托代表人（签字或盖章）：</w:t>
      </w:r>
    </w:p>
    <w:p>
      <w:pPr>
        <w:spacing w:line="500" w:lineRule="exact"/>
        <w:ind w:firstLine="5040" w:firstLineChars="2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.服务条款偏离表</w:t>
      </w:r>
    </w:p>
    <w:tbl>
      <w:tblPr>
        <w:tblStyle w:val="1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80"/>
        <w:gridCol w:w="2773"/>
        <w:gridCol w:w="145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序号</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thick" w:color="FFFFFF"/>
                <w14:textFill>
                  <w14:solidFill>
                    <w14:schemeClr w14:val="tx1"/>
                  </w14:solidFill>
                </w14:textFill>
              </w:rPr>
              <w:t>招标文件</w:t>
            </w:r>
            <w:r>
              <w:rPr>
                <w:rFonts w:hint="eastAsia" w:ascii="宋体" w:hAnsi="宋体" w:eastAsia="宋体" w:cs="宋体"/>
                <w:color w:val="000000" w:themeColor="text1"/>
                <w14:textFill>
                  <w14:solidFill>
                    <w14:schemeClr w14:val="tx1"/>
                  </w14:solidFill>
                </w14:textFill>
              </w:rPr>
              <w:t>要求</w:t>
            </w:r>
          </w:p>
        </w:tc>
        <w:tc>
          <w:tcPr>
            <w:tcW w:w="2773"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投标响应内容</w:t>
            </w:r>
          </w:p>
        </w:tc>
        <w:tc>
          <w:tcPr>
            <w:tcW w:w="1452"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偏离情况</w:t>
            </w:r>
          </w:p>
        </w:tc>
        <w:tc>
          <w:tcPr>
            <w:tcW w:w="1134"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3180"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452"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452"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3180" w:type="dxa"/>
            <w:vAlign w:val="center"/>
          </w:tcPr>
          <w:p>
            <w:pPr>
              <w:pStyle w:val="17"/>
              <w:snapToGrid w:val="0"/>
              <w:spacing w:beforeAutospacing="0" w:afterAutospacing="0" w:line="460" w:lineRule="exact"/>
              <w:jc w:val="center"/>
              <w:rPr>
                <w:rFonts w:hint="eastAsia" w:ascii="宋体" w:hAnsi="宋体" w:eastAsia="宋体" w:cs="宋体"/>
                <w:b/>
                <w:bCs/>
                <w:color w:val="000000" w:themeColor="text1"/>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14:textFill>
                  <w14:solidFill>
                    <w14:schemeClr w14:val="tx1"/>
                  </w14:solidFill>
                </w14:textFill>
              </w:rPr>
            </w:pPr>
          </w:p>
        </w:tc>
      </w:tr>
    </w:tbl>
    <w:p>
      <w:pPr>
        <w:pStyle w:val="10"/>
        <w:snapToGrid w:val="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说明：1.偏离情况分别为：正偏离、无偏离或负偏离。投标人可在备注栏内就偏离原因进行简要说明。</w:t>
      </w:r>
    </w:p>
    <w:p>
      <w:pPr>
        <w:pStyle w:val="10"/>
        <w:snapToGrid w:val="0"/>
        <w:spacing w:line="360" w:lineRule="auto"/>
        <w:ind w:firstLine="2640" w:firstLineChars="1100"/>
        <w:rPr>
          <w:rFonts w:hint="eastAsia" w:ascii="宋体" w:hAnsi="宋体" w:eastAsia="宋体" w:cs="宋体"/>
          <w:color w:val="000000" w:themeColor="text1"/>
          <w:sz w:val="24"/>
          <w:szCs w:val="24"/>
          <w14:textFill>
            <w14:solidFill>
              <w14:schemeClr w14:val="tx1"/>
            </w14:solidFill>
          </w14:textFill>
        </w:rPr>
      </w:pPr>
    </w:p>
    <w:p>
      <w:pPr>
        <w:pStyle w:val="10"/>
        <w:snapToGrid w:val="0"/>
        <w:spacing w:line="360" w:lineRule="auto"/>
        <w:ind w:firstLine="6000" w:firstLineChars="25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投标人全称（公章）： </w:t>
      </w:r>
    </w:p>
    <w:p>
      <w:pPr>
        <w:pStyle w:val="10"/>
        <w:snapToGrid w:val="0"/>
        <w:spacing w:line="360" w:lineRule="auto"/>
        <w:ind w:firstLine="6000" w:firstLineChars="25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投标人授权代表（签字）： </w:t>
      </w:r>
    </w:p>
    <w:p>
      <w:pPr>
        <w:pStyle w:val="10"/>
        <w:snapToGrid w:val="0"/>
        <w:spacing w:line="360" w:lineRule="auto"/>
        <w:ind w:firstLine="6000" w:firstLineChars="25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月   日 </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pPr>
        <w:widowControl/>
        <w:autoSpaceDE/>
        <w:autoSpaceDN/>
        <w:adjustRightInd/>
        <w:spacing w:line="500" w:lineRule="exact"/>
        <w:ind w:firstLine="482"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10</w:t>
      </w:r>
      <w:r>
        <w:rPr>
          <w:rFonts w:hint="eastAsia" w:ascii="宋体" w:hAnsi="宋体" w:eastAsia="宋体" w:cs="宋体"/>
          <w:b/>
          <w:color w:val="000000" w:themeColor="text1"/>
          <w:sz w:val="24"/>
          <w:szCs w:val="24"/>
          <w14:textFill>
            <w14:solidFill>
              <w14:schemeClr w14:val="tx1"/>
            </w14:solidFill>
          </w14:textFill>
        </w:rPr>
        <w:t>.9.根据标项评分因素须提供的相关材料：如企业状况、企业管理水平、技术力量配备、养护的合理化建议、提供苗木的响应速度及突发事件处置方案等（投标人须按照评分因素的先后顺序放置相关材料）；</w:t>
      </w:r>
    </w:p>
    <w:p>
      <w:pPr>
        <w:widowControl/>
        <w:autoSpaceDE/>
        <w:autoSpaceDN/>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p>
    <w:p>
      <w:pPr>
        <w:widowControl/>
        <w:autoSpaceDE/>
        <w:autoSpaceDN/>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.评分规则中涉及的所需提供的资料、投标人</w:t>
      </w:r>
      <w:r>
        <w:rPr>
          <w:rFonts w:hint="eastAsia" w:hAnsi="宋体" w:cs="宋体"/>
          <w:b/>
          <w:color w:val="000000" w:themeColor="text1"/>
          <w:sz w:val="24"/>
          <w:szCs w:val="24"/>
          <w:lang w:eastAsia="zh-CN"/>
          <w14:textFill>
            <w14:solidFill>
              <w14:schemeClr w14:val="tx1"/>
            </w14:solidFill>
          </w14:textFill>
        </w:rPr>
        <w:t>认为</w:t>
      </w:r>
      <w:r>
        <w:rPr>
          <w:rFonts w:hint="eastAsia" w:ascii="宋体" w:hAnsi="宋体" w:eastAsia="宋体" w:cs="宋体"/>
          <w:b/>
          <w:color w:val="000000" w:themeColor="text1"/>
          <w:sz w:val="24"/>
          <w:szCs w:val="24"/>
          <w14:textFill>
            <w14:solidFill>
              <w14:schemeClr w14:val="tx1"/>
            </w14:solidFill>
          </w14:textFill>
        </w:rPr>
        <w:t>需要说明的其他文件和说明。</w:t>
      </w:r>
    </w:p>
    <w:p>
      <w:pPr>
        <w:pStyle w:val="18"/>
        <w:ind w:firstLine="7000" w:firstLineChars="2500"/>
        <w:rPr>
          <w:rFonts w:hint="eastAsia" w:ascii="宋体" w:hAnsi="宋体" w:eastAsia="宋体" w:cs="宋体"/>
          <w:color w:val="000000" w:themeColor="text1"/>
          <w14:textFill>
            <w14:solidFill>
              <w14:schemeClr w14:val="tx1"/>
            </w14:solidFill>
          </w14:textFill>
        </w:rPr>
      </w:pPr>
    </w:p>
    <w:sectPr>
      <w:footerReference r:id="rId7" w:type="first"/>
      <w:footerReference r:id="rId6" w:type="default"/>
      <w:pgSz w:w="11907" w:h="16840"/>
      <w:pgMar w:top="1440" w:right="1080" w:bottom="1440" w:left="1080" w:header="851" w:footer="850" w:gutter="0"/>
      <w:pgNumType w:start="1"/>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72770" o:spid="_x0000_s4098" o:spt="136" type="#_x0000_t136" style="position:absolute;left:0pt;height:63.5pt;width:625.6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金华市天盈财务咨询有限公司" style="font-family:微软雅黑;font-size:36pt;v-text-align:center;"/>
        </v:shape>
      </w:pict>
    </w:r>
    <w:r>
      <w:rPr>
        <w:rFonts w:hint="eastAsia"/>
      </w:rPr>
      <w:t>金华市天盈财务咨询有限公司</w:t>
    </w:r>
  </w:p>
  <w:p>
    <w:pPr>
      <w:pStyle w:val="14"/>
      <w:rPr>
        <w:rFonts w:hint="eastAsia" w:eastAsia="宋体" w:cs="Times New Roman"/>
        <w:lang w:eastAsia="zh-CN"/>
      </w:rPr>
    </w:pPr>
    <w:r>
      <w:rPr>
        <w:rFonts w:hint="eastAsia"/>
      </w:rPr>
      <w:t>项目编号</w:t>
    </w:r>
    <w:r>
      <w:t>:</w:t>
    </w:r>
    <w:r>
      <w:rPr>
        <w:rFonts w:hint="eastAsia"/>
        <w:lang w:eastAsia="zh-CN"/>
      </w:rPr>
      <w:t>TY2022-FW680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金华市天盈财务咨询有限公司</w:t>
    </w:r>
  </w:p>
  <w:p>
    <w:pPr>
      <w:pStyle w:val="14"/>
      <w:rPr>
        <w:rFonts w:hint="eastAsia" w:eastAsia="宋体"/>
        <w:lang w:eastAsia="zh-CN"/>
      </w:rPr>
    </w:pPr>
    <w:r>
      <w:pict>
        <v:shape id="PowerPlusWaterMarkObject94282" o:spid="_x0000_s4097" o:spt="136" type="#_x0000_t136" style="position:absolute;left:0pt;height:63.5pt;width:625.6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金华市天盈财务咨询有限公司" style="font-family:微软雅黑;font-size:36pt;v-text-align:center;"/>
        </v:shape>
      </w:pict>
    </w:r>
    <w:r>
      <w:rPr>
        <w:rFonts w:hint="eastAsia"/>
      </w:rPr>
      <w:t>项目编号</w:t>
    </w:r>
    <w:r>
      <w:t>:</w:t>
    </w:r>
    <w:r>
      <w:rPr>
        <w:rFonts w:hint="eastAsia"/>
        <w:lang w:eastAsia="zh-CN"/>
      </w:rPr>
      <w:t>TY2022-FW680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B3E50"/>
    <w:multiLevelType w:val="singleLevel"/>
    <w:tmpl w:val="88AB3E50"/>
    <w:lvl w:ilvl="0" w:tentative="0">
      <w:start w:val="1"/>
      <w:numFmt w:val="decimal"/>
      <w:lvlText w:val="(%1)"/>
      <w:lvlJc w:val="left"/>
      <w:pPr>
        <w:ind w:left="425" w:hanging="425"/>
      </w:pPr>
      <w:rPr>
        <w:rFonts w:hint="default"/>
      </w:rPr>
    </w:lvl>
  </w:abstractNum>
  <w:abstractNum w:abstractNumId="1">
    <w:nsid w:val="8F969D6E"/>
    <w:multiLevelType w:val="singleLevel"/>
    <w:tmpl w:val="8F969D6E"/>
    <w:lvl w:ilvl="0" w:tentative="0">
      <w:start w:val="1"/>
      <w:numFmt w:val="decimal"/>
      <w:lvlText w:val="%1."/>
      <w:lvlJc w:val="left"/>
      <w:pPr>
        <w:ind w:left="425" w:hanging="425"/>
      </w:pPr>
      <w:rPr>
        <w:rFonts w:hint="default"/>
      </w:rPr>
    </w:lvl>
  </w:abstractNum>
  <w:abstractNum w:abstractNumId="2">
    <w:nsid w:val="C9AD7B04"/>
    <w:multiLevelType w:val="singleLevel"/>
    <w:tmpl w:val="C9AD7B04"/>
    <w:lvl w:ilvl="0" w:tentative="0">
      <w:start w:val="5"/>
      <w:numFmt w:val="decimal"/>
      <w:lvlText w:val="%1."/>
      <w:lvlJc w:val="left"/>
      <w:pPr>
        <w:tabs>
          <w:tab w:val="left" w:pos="312"/>
        </w:tabs>
      </w:pPr>
    </w:lvl>
  </w:abstractNum>
  <w:abstractNum w:abstractNumId="3">
    <w:nsid w:val="133DCE52"/>
    <w:multiLevelType w:val="singleLevel"/>
    <w:tmpl w:val="133DCE52"/>
    <w:lvl w:ilvl="0" w:tentative="0">
      <w:start w:val="2"/>
      <w:numFmt w:val="chineseCounting"/>
      <w:suff w:val="nothing"/>
      <w:lvlText w:val="%1、"/>
      <w:lvlJc w:val="left"/>
      <w:rPr>
        <w:rFonts w:hint="eastAsia"/>
      </w:rPr>
    </w:lvl>
  </w:abstractNum>
  <w:abstractNum w:abstractNumId="4">
    <w:nsid w:val="3D1E3BFC"/>
    <w:multiLevelType w:val="singleLevel"/>
    <w:tmpl w:val="3D1E3BFC"/>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3NTIwODRkZDFiZTc2MWRmZGU3OWU2NWJkNWIifQ=="/>
  </w:docVars>
  <w:rsids>
    <w:rsidRoot w:val="67C85BFC"/>
    <w:rsid w:val="00021163"/>
    <w:rsid w:val="00027FE1"/>
    <w:rsid w:val="0006206B"/>
    <w:rsid w:val="00097EDA"/>
    <w:rsid w:val="000D559E"/>
    <w:rsid w:val="000E5AE5"/>
    <w:rsid w:val="000E6EE9"/>
    <w:rsid w:val="0010742E"/>
    <w:rsid w:val="00136C4F"/>
    <w:rsid w:val="00141238"/>
    <w:rsid w:val="0017758B"/>
    <w:rsid w:val="00193C1B"/>
    <w:rsid w:val="001B0C5A"/>
    <w:rsid w:val="001B74CB"/>
    <w:rsid w:val="001C3269"/>
    <w:rsid w:val="00220593"/>
    <w:rsid w:val="0024778F"/>
    <w:rsid w:val="002601D6"/>
    <w:rsid w:val="00270153"/>
    <w:rsid w:val="00280C4D"/>
    <w:rsid w:val="002947CA"/>
    <w:rsid w:val="002B2AF0"/>
    <w:rsid w:val="002B4D88"/>
    <w:rsid w:val="002B73D7"/>
    <w:rsid w:val="002F5ED3"/>
    <w:rsid w:val="0030546C"/>
    <w:rsid w:val="003102FF"/>
    <w:rsid w:val="00312206"/>
    <w:rsid w:val="00350E01"/>
    <w:rsid w:val="00352B34"/>
    <w:rsid w:val="00354168"/>
    <w:rsid w:val="003B084B"/>
    <w:rsid w:val="003D308E"/>
    <w:rsid w:val="003F1F0A"/>
    <w:rsid w:val="003F3F2A"/>
    <w:rsid w:val="00400D31"/>
    <w:rsid w:val="00421A2C"/>
    <w:rsid w:val="00422D4C"/>
    <w:rsid w:val="00442C6F"/>
    <w:rsid w:val="00456483"/>
    <w:rsid w:val="004914B7"/>
    <w:rsid w:val="004B11E8"/>
    <w:rsid w:val="004B45AB"/>
    <w:rsid w:val="004C0599"/>
    <w:rsid w:val="004C2B2A"/>
    <w:rsid w:val="004C4991"/>
    <w:rsid w:val="005056E1"/>
    <w:rsid w:val="00514588"/>
    <w:rsid w:val="0052033D"/>
    <w:rsid w:val="00531FE3"/>
    <w:rsid w:val="00554BBD"/>
    <w:rsid w:val="00585EBC"/>
    <w:rsid w:val="00594215"/>
    <w:rsid w:val="0059724E"/>
    <w:rsid w:val="005B0654"/>
    <w:rsid w:val="005C473A"/>
    <w:rsid w:val="005E5BF3"/>
    <w:rsid w:val="005F2429"/>
    <w:rsid w:val="00604BBF"/>
    <w:rsid w:val="00624977"/>
    <w:rsid w:val="0063574A"/>
    <w:rsid w:val="00635935"/>
    <w:rsid w:val="00643353"/>
    <w:rsid w:val="0065302A"/>
    <w:rsid w:val="006663CF"/>
    <w:rsid w:val="00680410"/>
    <w:rsid w:val="00682FAA"/>
    <w:rsid w:val="006A2A90"/>
    <w:rsid w:val="006A5B93"/>
    <w:rsid w:val="006B4434"/>
    <w:rsid w:val="006C4B23"/>
    <w:rsid w:val="006E1807"/>
    <w:rsid w:val="006E513A"/>
    <w:rsid w:val="00723DA2"/>
    <w:rsid w:val="00734ECB"/>
    <w:rsid w:val="00742795"/>
    <w:rsid w:val="007427EA"/>
    <w:rsid w:val="00743644"/>
    <w:rsid w:val="007B6D09"/>
    <w:rsid w:val="007D1304"/>
    <w:rsid w:val="007D1D62"/>
    <w:rsid w:val="007E519B"/>
    <w:rsid w:val="00801651"/>
    <w:rsid w:val="008118EF"/>
    <w:rsid w:val="00824714"/>
    <w:rsid w:val="00846C2E"/>
    <w:rsid w:val="00876415"/>
    <w:rsid w:val="00891EA5"/>
    <w:rsid w:val="008939B7"/>
    <w:rsid w:val="008C1E6D"/>
    <w:rsid w:val="008C3AF9"/>
    <w:rsid w:val="008C4F8E"/>
    <w:rsid w:val="008D798D"/>
    <w:rsid w:val="008F20B9"/>
    <w:rsid w:val="009209D2"/>
    <w:rsid w:val="00935DB5"/>
    <w:rsid w:val="0093745D"/>
    <w:rsid w:val="00943529"/>
    <w:rsid w:val="00946D61"/>
    <w:rsid w:val="0095370D"/>
    <w:rsid w:val="0096614D"/>
    <w:rsid w:val="00970F3F"/>
    <w:rsid w:val="009715CE"/>
    <w:rsid w:val="00974D9B"/>
    <w:rsid w:val="009A3B72"/>
    <w:rsid w:val="009B138B"/>
    <w:rsid w:val="009B7B23"/>
    <w:rsid w:val="009C22F1"/>
    <w:rsid w:val="009D6490"/>
    <w:rsid w:val="009E3693"/>
    <w:rsid w:val="00A0140A"/>
    <w:rsid w:val="00A01A3F"/>
    <w:rsid w:val="00A171E9"/>
    <w:rsid w:val="00A27C38"/>
    <w:rsid w:val="00A3295D"/>
    <w:rsid w:val="00A43DE1"/>
    <w:rsid w:val="00A51B59"/>
    <w:rsid w:val="00A61EB8"/>
    <w:rsid w:val="00A733FB"/>
    <w:rsid w:val="00A916BA"/>
    <w:rsid w:val="00AA2131"/>
    <w:rsid w:val="00AB6C3F"/>
    <w:rsid w:val="00AC5A80"/>
    <w:rsid w:val="00AE0BD1"/>
    <w:rsid w:val="00B0048D"/>
    <w:rsid w:val="00B06A72"/>
    <w:rsid w:val="00B12FBF"/>
    <w:rsid w:val="00B53CDB"/>
    <w:rsid w:val="00B742F9"/>
    <w:rsid w:val="00B76E3C"/>
    <w:rsid w:val="00B8785C"/>
    <w:rsid w:val="00B92402"/>
    <w:rsid w:val="00BB74D9"/>
    <w:rsid w:val="00BF10B5"/>
    <w:rsid w:val="00C12737"/>
    <w:rsid w:val="00C206B1"/>
    <w:rsid w:val="00C2371D"/>
    <w:rsid w:val="00C25DDF"/>
    <w:rsid w:val="00C73DF5"/>
    <w:rsid w:val="00CA41E6"/>
    <w:rsid w:val="00CA7A7F"/>
    <w:rsid w:val="00CC408B"/>
    <w:rsid w:val="00CD6929"/>
    <w:rsid w:val="00CD72C3"/>
    <w:rsid w:val="00CE18C0"/>
    <w:rsid w:val="00CE58F3"/>
    <w:rsid w:val="00CF791C"/>
    <w:rsid w:val="00D41210"/>
    <w:rsid w:val="00D909E7"/>
    <w:rsid w:val="00DC3CED"/>
    <w:rsid w:val="00DC6542"/>
    <w:rsid w:val="00DD1C55"/>
    <w:rsid w:val="00DE3988"/>
    <w:rsid w:val="00DF267A"/>
    <w:rsid w:val="00DF4484"/>
    <w:rsid w:val="00E310C2"/>
    <w:rsid w:val="00E43C4A"/>
    <w:rsid w:val="00E66762"/>
    <w:rsid w:val="00E8389F"/>
    <w:rsid w:val="00EA1B3B"/>
    <w:rsid w:val="00EA60C6"/>
    <w:rsid w:val="00EB3EA3"/>
    <w:rsid w:val="00EC1FB5"/>
    <w:rsid w:val="00EE15EB"/>
    <w:rsid w:val="00EF6169"/>
    <w:rsid w:val="00F54A7D"/>
    <w:rsid w:val="00F80E56"/>
    <w:rsid w:val="00F82754"/>
    <w:rsid w:val="00F82AA5"/>
    <w:rsid w:val="00FB42C3"/>
    <w:rsid w:val="00FD29C5"/>
    <w:rsid w:val="00FD44AB"/>
    <w:rsid w:val="0135749A"/>
    <w:rsid w:val="01694458"/>
    <w:rsid w:val="01905125"/>
    <w:rsid w:val="01B55EC3"/>
    <w:rsid w:val="02075F90"/>
    <w:rsid w:val="022B7D44"/>
    <w:rsid w:val="02B641BA"/>
    <w:rsid w:val="02EE6642"/>
    <w:rsid w:val="030652CC"/>
    <w:rsid w:val="030B74A5"/>
    <w:rsid w:val="030D0328"/>
    <w:rsid w:val="03273206"/>
    <w:rsid w:val="03832E3C"/>
    <w:rsid w:val="03A4774E"/>
    <w:rsid w:val="03AA5DB1"/>
    <w:rsid w:val="03D93354"/>
    <w:rsid w:val="045D335C"/>
    <w:rsid w:val="04762137"/>
    <w:rsid w:val="04BF588C"/>
    <w:rsid w:val="04CC77E7"/>
    <w:rsid w:val="04E740B7"/>
    <w:rsid w:val="04FE6D9A"/>
    <w:rsid w:val="05EF4AF8"/>
    <w:rsid w:val="06A71645"/>
    <w:rsid w:val="06D43CBD"/>
    <w:rsid w:val="06E00104"/>
    <w:rsid w:val="07124399"/>
    <w:rsid w:val="07637B58"/>
    <w:rsid w:val="08170813"/>
    <w:rsid w:val="08174E12"/>
    <w:rsid w:val="08A70B11"/>
    <w:rsid w:val="09DF6945"/>
    <w:rsid w:val="09EA492F"/>
    <w:rsid w:val="0A3B3C06"/>
    <w:rsid w:val="0A632910"/>
    <w:rsid w:val="0A883DD8"/>
    <w:rsid w:val="0AA23C86"/>
    <w:rsid w:val="0AC929B1"/>
    <w:rsid w:val="0B0D0F06"/>
    <w:rsid w:val="0B3C7C36"/>
    <w:rsid w:val="0BEB340A"/>
    <w:rsid w:val="0C476C9C"/>
    <w:rsid w:val="0CA51D35"/>
    <w:rsid w:val="0CBD7D0A"/>
    <w:rsid w:val="0D6A7A36"/>
    <w:rsid w:val="0D78545E"/>
    <w:rsid w:val="0D8A2613"/>
    <w:rsid w:val="0D8C4117"/>
    <w:rsid w:val="0DF05323"/>
    <w:rsid w:val="0E13487F"/>
    <w:rsid w:val="0EB43059"/>
    <w:rsid w:val="103246CF"/>
    <w:rsid w:val="10C420E2"/>
    <w:rsid w:val="10F14257"/>
    <w:rsid w:val="11126E6F"/>
    <w:rsid w:val="11196324"/>
    <w:rsid w:val="11786719"/>
    <w:rsid w:val="11794B8B"/>
    <w:rsid w:val="12025E07"/>
    <w:rsid w:val="123C5D1B"/>
    <w:rsid w:val="124B4C31"/>
    <w:rsid w:val="127E05CA"/>
    <w:rsid w:val="128F2592"/>
    <w:rsid w:val="1290646B"/>
    <w:rsid w:val="12D17813"/>
    <w:rsid w:val="12DB44A9"/>
    <w:rsid w:val="143568E6"/>
    <w:rsid w:val="144A1F58"/>
    <w:rsid w:val="14F35A0D"/>
    <w:rsid w:val="151204EB"/>
    <w:rsid w:val="15144742"/>
    <w:rsid w:val="15281616"/>
    <w:rsid w:val="156A54ED"/>
    <w:rsid w:val="15CA4090"/>
    <w:rsid w:val="16786ECD"/>
    <w:rsid w:val="16CB6878"/>
    <w:rsid w:val="189735CC"/>
    <w:rsid w:val="18CF53FE"/>
    <w:rsid w:val="18D2365A"/>
    <w:rsid w:val="192759C8"/>
    <w:rsid w:val="199A427B"/>
    <w:rsid w:val="199C51C6"/>
    <w:rsid w:val="19B612DC"/>
    <w:rsid w:val="19FC1682"/>
    <w:rsid w:val="19FF049A"/>
    <w:rsid w:val="1AEC675A"/>
    <w:rsid w:val="1B036CF0"/>
    <w:rsid w:val="1B7F6BDB"/>
    <w:rsid w:val="1C3621D1"/>
    <w:rsid w:val="1D055D1B"/>
    <w:rsid w:val="1D0B3883"/>
    <w:rsid w:val="1D1722B1"/>
    <w:rsid w:val="1D205826"/>
    <w:rsid w:val="1E576C83"/>
    <w:rsid w:val="1E665145"/>
    <w:rsid w:val="1EA50C76"/>
    <w:rsid w:val="1EAC07D7"/>
    <w:rsid w:val="1EEB73F4"/>
    <w:rsid w:val="1F0A5FE1"/>
    <w:rsid w:val="1F7D4A62"/>
    <w:rsid w:val="1FAF67D1"/>
    <w:rsid w:val="1FD65BF5"/>
    <w:rsid w:val="200D7FCB"/>
    <w:rsid w:val="202E5975"/>
    <w:rsid w:val="20740E27"/>
    <w:rsid w:val="21077674"/>
    <w:rsid w:val="21802B97"/>
    <w:rsid w:val="218576C6"/>
    <w:rsid w:val="21DF211E"/>
    <w:rsid w:val="220821C8"/>
    <w:rsid w:val="2228647E"/>
    <w:rsid w:val="224F2F78"/>
    <w:rsid w:val="22E97460"/>
    <w:rsid w:val="23352BEC"/>
    <w:rsid w:val="23776DA8"/>
    <w:rsid w:val="23806CE4"/>
    <w:rsid w:val="23A9571E"/>
    <w:rsid w:val="23AA7D54"/>
    <w:rsid w:val="2443597A"/>
    <w:rsid w:val="249874C7"/>
    <w:rsid w:val="24A46C23"/>
    <w:rsid w:val="24CD14A7"/>
    <w:rsid w:val="253D487F"/>
    <w:rsid w:val="25C07606"/>
    <w:rsid w:val="25F30A7B"/>
    <w:rsid w:val="26656903"/>
    <w:rsid w:val="267574D3"/>
    <w:rsid w:val="274B6DD8"/>
    <w:rsid w:val="27573CBB"/>
    <w:rsid w:val="27AB76E8"/>
    <w:rsid w:val="27DD509A"/>
    <w:rsid w:val="280D53AA"/>
    <w:rsid w:val="28544BB1"/>
    <w:rsid w:val="28690F2A"/>
    <w:rsid w:val="28A42717"/>
    <w:rsid w:val="28AE4F2A"/>
    <w:rsid w:val="28EE046E"/>
    <w:rsid w:val="291519B0"/>
    <w:rsid w:val="295579C7"/>
    <w:rsid w:val="2A102012"/>
    <w:rsid w:val="2A8420DB"/>
    <w:rsid w:val="2A855A97"/>
    <w:rsid w:val="2AB91BB7"/>
    <w:rsid w:val="2B3A7A3E"/>
    <w:rsid w:val="2BD5374A"/>
    <w:rsid w:val="2BE06DA9"/>
    <w:rsid w:val="2C610F17"/>
    <w:rsid w:val="2D4F69F9"/>
    <w:rsid w:val="2D802D0A"/>
    <w:rsid w:val="2D850A26"/>
    <w:rsid w:val="2D9A26AD"/>
    <w:rsid w:val="2DB86D7A"/>
    <w:rsid w:val="2DB905CF"/>
    <w:rsid w:val="2DDE7BAA"/>
    <w:rsid w:val="2DDF248E"/>
    <w:rsid w:val="2E0E500A"/>
    <w:rsid w:val="2E8D7304"/>
    <w:rsid w:val="2F1E77C3"/>
    <w:rsid w:val="2FAA74F0"/>
    <w:rsid w:val="2FB106E6"/>
    <w:rsid w:val="30807C1D"/>
    <w:rsid w:val="30E03B36"/>
    <w:rsid w:val="315A40C3"/>
    <w:rsid w:val="319C7661"/>
    <w:rsid w:val="31BB56D8"/>
    <w:rsid w:val="31F47F72"/>
    <w:rsid w:val="328C7233"/>
    <w:rsid w:val="32917398"/>
    <w:rsid w:val="32DA18E8"/>
    <w:rsid w:val="32E20C77"/>
    <w:rsid w:val="330B38C7"/>
    <w:rsid w:val="330D693F"/>
    <w:rsid w:val="33BA0451"/>
    <w:rsid w:val="3402116D"/>
    <w:rsid w:val="34397410"/>
    <w:rsid w:val="345D45F6"/>
    <w:rsid w:val="34853B4C"/>
    <w:rsid w:val="34B527E4"/>
    <w:rsid w:val="34CB26E7"/>
    <w:rsid w:val="34FA110C"/>
    <w:rsid w:val="35DE5F97"/>
    <w:rsid w:val="36096AAC"/>
    <w:rsid w:val="366E5656"/>
    <w:rsid w:val="36961DEA"/>
    <w:rsid w:val="36BB1AA7"/>
    <w:rsid w:val="374271C5"/>
    <w:rsid w:val="374B2E2B"/>
    <w:rsid w:val="3769199A"/>
    <w:rsid w:val="37755A2E"/>
    <w:rsid w:val="37865BF2"/>
    <w:rsid w:val="37894DC6"/>
    <w:rsid w:val="378A213D"/>
    <w:rsid w:val="37AE1C2E"/>
    <w:rsid w:val="385726B9"/>
    <w:rsid w:val="38A2427D"/>
    <w:rsid w:val="38A264D4"/>
    <w:rsid w:val="38AF4AA2"/>
    <w:rsid w:val="38C37110"/>
    <w:rsid w:val="39A54B37"/>
    <w:rsid w:val="39AC5578"/>
    <w:rsid w:val="3A0C51F2"/>
    <w:rsid w:val="3A350A81"/>
    <w:rsid w:val="3A5A4748"/>
    <w:rsid w:val="3AF61300"/>
    <w:rsid w:val="3B7C6CC4"/>
    <w:rsid w:val="3BDA3CF0"/>
    <w:rsid w:val="3C9661F0"/>
    <w:rsid w:val="3D4E3D3C"/>
    <w:rsid w:val="3D5515A4"/>
    <w:rsid w:val="3D6742FF"/>
    <w:rsid w:val="3E514E06"/>
    <w:rsid w:val="3EA01CAF"/>
    <w:rsid w:val="3EDC6A5F"/>
    <w:rsid w:val="3EFE4C27"/>
    <w:rsid w:val="3F2678CA"/>
    <w:rsid w:val="3F970A7C"/>
    <w:rsid w:val="3FAD72CE"/>
    <w:rsid w:val="3FF74ECC"/>
    <w:rsid w:val="40EA7ACD"/>
    <w:rsid w:val="416E7728"/>
    <w:rsid w:val="423D5A66"/>
    <w:rsid w:val="426175E3"/>
    <w:rsid w:val="427620D3"/>
    <w:rsid w:val="4384679E"/>
    <w:rsid w:val="440970A7"/>
    <w:rsid w:val="442D73A9"/>
    <w:rsid w:val="44D51456"/>
    <w:rsid w:val="44FE14DD"/>
    <w:rsid w:val="452847AC"/>
    <w:rsid w:val="45850559"/>
    <w:rsid w:val="45E24773"/>
    <w:rsid w:val="464A2B15"/>
    <w:rsid w:val="46CF23A8"/>
    <w:rsid w:val="46E73CF7"/>
    <w:rsid w:val="480303E8"/>
    <w:rsid w:val="48130AFE"/>
    <w:rsid w:val="4846071E"/>
    <w:rsid w:val="484F3B38"/>
    <w:rsid w:val="486169BC"/>
    <w:rsid w:val="48BE2FC1"/>
    <w:rsid w:val="493D291C"/>
    <w:rsid w:val="498410BD"/>
    <w:rsid w:val="4A6C50F1"/>
    <w:rsid w:val="4B0C1D26"/>
    <w:rsid w:val="4B1F6501"/>
    <w:rsid w:val="4B337D2D"/>
    <w:rsid w:val="4B4B7DF2"/>
    <w:rsid w:val="4B536B27"/>
    <w:rsid w:val="4BFC15AD"/>
    <w:rsid w:val="4C8D15D8"/>
    <w:rsid w:val="4C9F2B2E"/>
    <w:rsid w:val="4CC27A92"/>
    <w:rsid w:val="4D904C49"/>
    <w:rsid w:val="4D9D286E"/>
    <w:rsid w:val="4DF15D2E"/>
    <w:rsid w:val="4DF94F37"/>
    <w:rsid w:val="4E721C6A"/>
    <w:rsid w:val="4E7C367D"/>
    <w:rsid w:val="4E8C4B4E"/>
    <w:rsid w:val="4EC40772"/>
    <w:rsid w:val="4EFC37ED"/>
    <w:rsid w:val="4F3404AF"/>
    <w:rsid w:val="4F366948"/>
    <w:rsid w:val="4F8626CA"/>
    <w:rsid w:val="4F881198"/>
    <w:rsid w:val="4FA916DE"/>
    <w:rsid w:val="501D030A"/>
    <w:rsid w:val="509D229C"/>
    <w:rsid w:val="50B57A18"/>
    <w:rsid w:val="50E53B09"/>
    <w:rsid w:val="516575F7"/>
    <w:rsid w:val="51686B39"/>
    <w:rsid w:val="51707DA3"/>
    <w:rsid w:val="51861C8C"/>
    <w:rsid w:val="51D07B4F"/>
    <w:rsid w:val="51E0357E"/>
    <w:rsid w:val="51E44169"/>
    <w:rsid w:val="521402BD"/>
    <w:rsid w:val="5232687F"/>
    <w:rsid w:val="524C2A03"/>
    <w:rsid w:val="52D01FDF"/>
    <w:rsid w:val="52D04674"/>
    <w:rsid w:val="533C6949"/>
    <w:rsid w:val="53637555"/>
    <w:rsid w:val="538277C4"/>
    <w:rsid w:val="53B02FEE"/>
    <w:rsid w:val="53D83778"/>
    <w:rsid w:val="541201FD"/>
    <w:rsid w:val="5416277D"/>
    <w:rsid w:val="547E6196"/>
    <w:rsid w:val="54B850A4"/>
    <w:rsid w:val="54E4763F"/>
    <w:rsid w:val="552875B1"/>
    <w:rsid w:val="556C1BDF"/>
    <w:rsid w:val="566A6F31"/>
    <w:rsid w:val="56805E29"/>
    <w:rsid w:val="584F1A9A"/>
    <w:rsid w:val="58BE71C6"/>
    <w:rsid w:val="591A4002"/>
    <w:rsid w:val="59AD41CF"/>
    <w:rsid w:val="59E40B8E"/>
    <w:rsid w:val="5A174460"/>
    <w:rsid w:val="5A236E1E"/>
    <w:rsid w:val="5A27759F"/>
    <w:rsid w:val="5A4C121F"/>
    <w:rsid w:val="5AB20948"/>
    <w:rsid w:val="5AB57A45"/>
    <w:rsid w:val="5ADE3D86"/>
    <w:rsid w:val="5C056B3B"/>
    <w:rsid w:val="5C0C5203"/>
    <w:rsid w:val="5C2F754B"/>
    <w:rsid w:val="5CBF2C2B"/>
    <w:rsid w:val="5D4F7A41"/>
    <w:rsid w:val="5D5E75DA"/>
    <w:rsid w:val="5D934FF8"/>
    <w:rsid w:val="5DB42C29"/>
    <w:rsid w:val="5E613C3A"/>
    <w:rsid w:val="5E677084"/>
    <w:rsid w:val="5E800D5D"/>
    <w:rsid w:val="5E953FF5"/>
    <w:rsid w:val="5ED06465"/>
    <w:rsid w:val="5F630DFC"/>
    <w:rsid w:val="5F8605F5"/>
    <w:rsid w:val="5FDF10D5"/>
    <w:rsid w:val="606A48EA"/>
    <w:rsid w:val="609C6CD5"/>
    <w:rsid w:val="61050635"/>
    <w:rsid w:val="61326FFC"/>
    <w:rsid w:val="614A7A9C"/>
    <w:rsid w:val="617D1296"/>
    <w:rsid w:val="61B63590"/>
    <w:rsid w:val="625935EA"/>
    <w:rsid w:val="62B95701"/>
    <w:rsid w:val="63A724C3"/>
    <w:rsid w:val="63BD210C"/>
    <w:rsid w:val="6445282D"/>
    <w:rsid w:val="646F361C"/>
    <w:rsid w:val="64D7022F"/>
    <w:rsid w:val="64E82BCF"/>
    <w:rsid w:val="64E90732"/>
    <w:rsid w:val="650F6997"/>
    <w:rsid w:val="65342EF8"/>
    <w:rsid w:val="653B6B88"/>
    <w:rsid w:val="65447E0A"/>
    <w:rsid w:val="654F01ED"/>
    <w:rsid w:val="65982A46"/>
    <w:rsid w:val="65FB6B72"/>
    <w:rsid w:val="66054CB2"/>
    <w:rsid w:val="661A3351"/>
    <w:rsid w:val="66466BE9"/>
    <w:rsid w:val="665A7687"/>
    <w:rsid w:val="665F0C79"/>
    <w:rsid w:val="66C93750"/>
    <w:rsid w:val="670F7122"/>
    <w:rsid w:val="67C85BFC"/>
    <w:rsid w:val="67D902D7"/>
    <w:rsid w:val="686D5EAE"/>
    <w:rsid w:val="68827663"/>
    <w:rsid w:val="68BC4989"/>
    <w:rsid w:val="68D03D57"/>
    <w:rsid w:val="69814F4D"/>
    <w:rsid w:val="6AE92D3D"/>
    <w:rsid w:val="6B177F55"/>
    <w:rsid w:val="6B5209C4"/>
    <w:rsid w:val="6BEA06DA"/>
    <w:rsid w:val="6C324C44"/>
    <w:rsid w:val="6C8D5FC1"/>
    <w:rsid w:val="6CFA710C"/>
    <w:rsid w:val="6DE5298B"/>
    <w:rsid w:val="6E5A2150"/>
    <w:rsid w:val="6F51652A"/>
    <w:rsid w:val="703A3509"/>
    <w:rsid w:val="704C6BEF"/>
    <w:rsid w:val="707352C8"/>
    <w:rsid w:val="70E71EAB"/>
    <w:rsid w:val="713218E3"/>
    <w:rsid w:val="717C19C2"/>
    <w:rsid w:val="719A2157"/>
    <w:rsid w:val="721E2DD8"/>
    <w:rsid w:val="72414A84"/>
    <w:rsid w:val="72D13F3A"/>
    <w:rsid w:val="72E57E9D"/>
    <w:rsid w:val="730B72EC"/>
    <w:rsid w:val="732E5D1B"/>
    <w:rsid w:val="7436334D"/>
    <w:rsid w:val="743C4A57"/>
    <w:rsid w:val="74E95465"/>
    <w:rsid w:val="75091736"/>
    <w:rsid w:val="75162ECD"/>
    <w:rsid w:val="7542735C"/>
    <w:rsid w:val="75647F5B"/>
    <w:rsid w:val="757D56E9"/>
    <w:rsid w:val="75C20564"/>
    <w:rsid w:val="75C6420B"/>
    <w:rsid w:val="75DA66BC"/>
    <w:rsid w:val="76215504"/>
    <w:rsid w:val="763D11B5"/>
    <w:rsid w:val="767936DC"/>
    <w:rsid w:val="76AE24B4"/>
    <w:rsid w:val="76B74E23"/>
    <w:rsid w:val="778869CB"/>
    <w:rsid w:val="77996CC0"/>
    <w:rsid w:val="77EC4629"/>
    <w:rsid w:val="784B2D2A"/>
    <w:rsid w:val="78525BBE"/>
    <w:rsid w:val="78984B30"/>
    <w:rsid w:val="78CB598D"/>
    <w:rsid w:val="7927428D"/>
    <w:rsid w:val="797A1A2F"/>
    <w:rsid w:val="79F07508"/>
    <w:rsid w:val="7A035533"/>
    <w:rsid w:val="7A43020E"/>
    <w:rsid w:val="7A613399"/>
    <w:rsid w:val="7A6A01CD"/>
    <w:rsid w:val="7AA86A41"/>
    <w:rsid w:val="7AD95625"/>
    <w:rsid w:val="7B046D88"/>
    <w:rsid w:val="7B0A59DD"/>
    <w:rsid w:val="7B0E49CD"/>
    <w:rsid w:val="7B7D2454"/>
    <w:rsid w:val="7D440F3C"/>
    <w:rsid w:val="7D9E568F"/>
    <w:rsid w:val="7DBC563E"/>
    <w:rsid w:val="7DBF2048"/>
    <w:rsid w:val="7DD215B8"/>
    <w:rsid w:val="7E751B09"/>
    <w:rsid w:val="7F8960F3"/>
    <w:rsid w:val="7F965FC5"/>
    <w:rsid w:val="7F9B538F"/>
    <w:rsid w:val="7FBA31F1"/>
    <w:rsid w:val="7FC10A48"/>
    <w:rsid w:val="7FC4544C"/>
    <w:rsid w:val="7FFD1EF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uiPriority="39" w:name="toc 4" w:locked="1"/>
    <w:lsdException w:uiPriority="39" w:name="toc 5" w:locked="1"/>
    <w:lsdException w:qFormat="1" w:unhideWhenUsed="0" w:uiPriority="0"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nhideWhenUsed="0" w:uiPriority="0" w:semiHidden="0"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qFormat="1" w:uiPriority="99" w:semiHidden="0"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textAlignment w:val="baseline"/>
    </w:pPr>
    <w:rPr>
      <w:rFonts w:ascii="宋体" w:hAnsi="Calibri" w:eastAsia="宋体" w:cs="宋体"/>
      <w:sz w:val="34"/>
      <w:szCs w:val="34"/>
      <w:lang w:val="en-US" w:eastAsia="zh-CN" w:bidi="ar-SA"/>
    </w:rPr>
  </w:style>
  <w:style w:type="paragraph" w:styleId="4">
    <w:name w:val="heading 1"/>
    <w:basedOn w:val="1"/>
    <w:next w:val="1"/>
    <w:link w:val="32"/>
    <w:qFormat/>
    <w:uiPriority w:val="99"/>
    <w:pPr>
      <w:keepNext/>
      <w:outlineLvl w:val="0"/>
    </w:pPr>
    <w:rPr>
      <w:b/>
      <w:bCs/>
      <w:color w:val="000000"/>
      <w:sz w:val="24"/>
      <w:szCs w:val="24"/>
    </w:rPr>
  </w:style>
  <w:style w:type="paragraph" w:styleId="5">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34"/>
    <w:qFormat/>
    <w:uiPriority w:val="99"/>
    <w:pPr>
      <w:autoSpaceDE w:val="0"/>
      <w:autoSpaceDN w:val="0"/>
      <w:adjustRightInd w:val="0"/>
      <w:spacing w:after="120"/>
      <w:ind w:left="420" w:leftChars="200" w:firstLine="420" w:firstLineChars="200"/>
      <w:jc w:val="left"/>
      <w:textAlignment w:val="baseline"/>
    </w:pPr>
    <w:rPr>
      <w:rFonts w:ascii="宋体" w:cs="宋体"/>
      <w:kern w:val="0"/>
      <w:sz w:val="34"/>
      <w:szCs w:val="34"/>
    </w:rPr>
  </w:style>
  <w:style w:type="paragraph" w:styleId="3">
    <w:name w:val="Body Text Indent"/>
    <w:basedOn w:val="1"/>
    <w:next w:val="1"/>
    <w:link w:val="33"/>
    <w:qFormat/>
    <w:uiPriority w:val="99"/>
    <w:pPr>
      <w:autoSpaceDE/>
      <w:autoSpaceDN/>
      <w:adjustRightInd/>
      <w:ind w:firstLine="900"/>
      <w:jc w:val="both"/>
      <w:textAlignment w:val="auto"/>
    </w:pPr>
    <w:rPr>
      <w:rFonts w:ascii="Times New Roman" w:cs="Times New Roman"/>
      <w:kern w:val="2"/>
      <w:sz w:val="28"/>
      <w:szCs w:val="28"/>
    </w:rPr>
  </w:style>
  <w:style w:type="paragraph" w:styleId="6">
    <w:name w:val="Normal Indent"/>
    <w:basedOn w:val="1"/>
    <w:next w:val="3"/>
    <w:qFormat/>
    <w:uiPriority w:val="99"/>
    <w:pPr>
      <w:autoSpaceDE/>
      <w:autoSpaceDN/>
      <w:adjustRightInd/>
      <w:ind w:firstLine="420"/>
      <w:jc w:val="both"/>
      <w:textAlignment w:val="auto"/>
    </w:pPr>
    <w:rPr>
      <w:rFonts w:ascii="Times New Roman" w:cs="Times New Roman"/>
      <w:kern w:val="2"/>
      <w:sz w:val="21"/>
      <w:szCs w:val="21"/>
    </w:rPr>
  </w:style>
  <w:style w:type="paragraph" w:styleId="7">
    <w:name w:val="annotation text"/>
    <w:basedOn w:val="1"/>
    <w:unhideWhenUsed/>
    <w:qFormat/>
    <w:locked/>
    <w:uiPriority w:val="99"/>
  </w:style>
  <w:style w:type="paragraph" w:styleId="8">
    <w:name w:val="Body Text"/>
    <w:basedOn w:val="1"/>
    <w:next w:val="1"/>
    <w:qFormat/>
    <w:locked/>
    <w:uiPriority w:val="0"/>
    <w:rPr>
      <w:sz w:val="28"/>
    </w:rPr>
  </w:style>
  <w:style w:type="paragraph" w:styleId="9">
    <w:name w:val="List 2"/>
    <w:basedOn w:val="1"/>
    <w:qFormat/>
    <w:uiPriority w:val="99"/>
    <w:pPr>
      <w:ind w:left="100" w:leftChars="200" w:hanging="200" w:hangingChars="200"/>
    </w:pPr>
  </w:style>
  <w:style w:type="paragraph" w:styleId="10">
    <w:name w:val="Plain Text"/>
    <w:basedOn w:val="1"/>
    <w:link w:val="35"/>
    <w:qFormat/>
    <w:uiPriority w:val="99"/>
    <w:rPr>
      <w:rFonts w:hAnsi="Courier New"/>
      <w:sz w:val="21"/>
      <w:szCs w:val="21"/>
    </w:rPr>
  </w:style>
  <w:style w:type="paragraph" w:styleId="11">
    <w:name w:val="Date"/>
    <w:basedOn w:val="1"/>
    <w:next w:val="1"/>
    <w:qFormat/>
    <w:locked/>
    <w:uiPriority w:val="0"/>
    <w:pPr>
      <w:jc w:val="both"/>
    </w:pPr>
    <w:rPr>
      <w:sz w:val="28"/>
    </w:rPr>
  </w:style>
  <w:style w:type="paragraph" w:styleId="12">
    <w:name w:val="Balloon Text"/>
    <w:basedOn w:val="1"/>
    <w:link w:val="36"/>
    <w:semiHidden/>
    <w:qFormat/>
    <w:uiPriority w:val="99"/>
    <w:rPr>
      <w:sz w:val="18"/>
      <w:szCs w:val="18"/>
    </w:rPr>
  </w:style>
  <w:style w:type="paragraph" w:styleId="13">
    <w:name w:val="footer"/>
    <w:basedOn w:val="1"/>
    <w:link w:val="37"/>
    <w:qFormat/>
    <w:uiPriority w:val="99"/>
    <w:pPr>
      <w:tabs>
        <w:tab w:val="center" w:pos="4153"/>
        <w:tab w:val="right" w:pos="8306"/>
      </w:tabs>
      <w:snapToGrid w:val="0"/>
    </w:pPr>
    <w:rPr>
      <w:sz w:val="18"/>
      <w:szCs w:val="18"/>
    </w:rPr>
  </w:style>
  <w:style w:type="paragraph" w:styleId="14">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99"/>
    <w:pPr>
      <w:spacing w:before="120" w:after="120"/>
    </w:pPr>
    <w:rPr>
      <w:rFonts w:ascii="Times New Roman" w:cs="Times New Roman"/>
      <w:b/>
      <w:bCs/>
      <w:caps/>
      <w:sz w:val="20"/>
      <w:szCs w:val="20"/>
    </w:rPr>
  </w:style>
  <w:style w:type="paragraph" w:styleId="16">
    <w:name w:val="toc 6"/>
    <w:basedOn w:val="1"/>
    <w:next w:val="1"/>
    <w:semiHidden/>
    <w:qFormat/>
    <w:locked/>
    <w:uiPriority w:val="0"/>
    <w:pPr>
      <w:ind w:left="1700"/>
    </w:pPr>
    <w:rPr>
      <w:rFonts w:ascii="Times New Roman"/>
      <w:sz w:val="18"/>
      <w:szCs w:val="18"/>
    </w:rPr>
  </w:style>
  <w:style w:type="paragraph" w:styleId="17">
    <w:name w:val="Normal (Web)"/>
    <w:basedOn w:val="1"/>
    <w:qFormat/>
    <w:uiPriority w:val="99"/>
    <w:pPr>
      <w:spacing w:beforeAutospacing="1" w:afterAutospacing="1"/>
    </w:pPr>
    <w:rPr>
      <w:sz w:val="24"/>
      <w:szCs w:val="24"/>
    </w:rPr>
  </w:style>
  <w:style w:type="paragraph" w:styleId="18">
    <w:name w:val="Body Text First Indent"/>
    <w:basedOn w:val="8"/>
    <w:next w:val="1"/>
    <w:qFormat/>
    <w:locked/>
    <w:uiPriority w:val="0"/>
    <w:pPr>
      <w:ind w:firstLine="420" w:firstLineChars="100"/>
    </w:pPr>
  </w:style>
  <w:style w:type="table" w:styleId="20">
    <w:name w:val="Table Grid"/>
    <w:basedOn w:val="19"/>
    <w:qFormat/>
    <w:locked/>
    <w:uiPriority w:val="0"/>
    <w:pPr>
      <w:widowControl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locked/>
    <w:uiPriority w:val="22"/>
    <w:rPr>
      <w:b/>
      <w:bCs/>
    </w:rPr>
  </w:style>
  <w:style w:type="character" w:styleId="23">
    <w:name w:val="page number"/>
    <w:qFormat/>
    <w:locked/>
    <w:uiPriority w:val="0"/>
  </w:style>
  <w:style w:type="character" w:styleId="24">
    <w:name w:val="FollowedHyperlink"/>
    <w:basedOn w:val="21"/>
    <w:unhideWhenUsed/>
    <w:qFormat/>
    <w:locked/>
    <w:uiPriority w:val="99"/>
    <w:rPr>
      <w:color w:val="000000"/>
      <w:u w:val="none"/>
    </w:rPr>
  </w:style>
  <w:style w:type="character" w:styleId="25">
    <w:name w:val="Hyperlink"/>
    <w:basedOn w:val="21"/>
    <w:unhideWhenUsed/>
    <w:qFormat/>
    <w:locked/>
    <w:uiPriority w:val="99"/>
    <w:rPr>
      <w:color w:val="000000"/>
      <w:u w:val="none"/>
    </w:rPr>
  </w:style>
  <w:style w:type="character" w:styleId="26">
    <w:name w:val="annotation reference"/>
    <w:basedOn w:val="21"/>
    <w:unhideWhenUsed/>
    <w:qFormat/>
    <w:locked/>
    <w:uiPriority w:val="99"/>
    <w:rPr>
      <w:sz w:val="21"/>
      <w:szCs w:val="21"/>
    </w:rPr>
  </w:style>
  <w:style w:type="paragraph" w:customStyle="1" w:styleId="27">
    <w:name w:val="[Normal]"/>
    <w:qFormat/>
    <w:uiPriority w:val="99"/>
    <w:rPr>
      <w:rFonts w:ascii="宋体" w:hAnsi="宋体" w:eastAsia="宋体" w:cs="宋体"/>
      <w:sz w:val="24"/>
      <w:szCs w:val="24"/>
      <w:lang w:val="zh-CN" w:eastAsia="zh-CN" w:bidi="ar-SA"/>
    </w:rPr>
  </w:style>
  <w:style w:type="paragraph" w:customStyle="1" w:styleId="28">
    <w:name w:val="表格文字"/>
    <w:basedOn w:val="1"/>
    <w:next w:val="8"/>
    <w:qFormat/>
    <w:uiPriority w:val="0"/>
    <w:pPr>
      <w:jc w:val="center"/>
    </w:pPr>
    <w:rPr>
      <w:szCs w:val="21"/>
    </w:rPr>
  </w:style>
  <w:style w:type="paragraph" w:customStyle="1" w:styleId="29">
    <w:name w:val="xl53"/>
    <w:basedOn w:val="1"/>
    <w:next w:val="1"/>
    <w:qFormat/>
    <w:uiPriority w:val="0"/>
    <w:pPr>
      <w:spacing w:before="280" w:after="280" w:line="100" w:lineRule="exact"/>
      <w:jc w:val="center"/>
    </w:pPr>
    <w:rPr>
      <w:b/>
      <w:sz w:val="20"/>
    </w:rPr>
  </w:style>
  <w:style w:type="paragraph" w:customStyle="1" w:styleId="3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样式 正文文本缩进 + 首行缩进:  2 字符 行距: 1.5 倍行距"/>
    <w:basedOn w:val="3"/>
    <w:qFormat/>
    <w:uiPriority w:val="0"/>
    <w:pPr>
      <w:spacing w:before="156" w:line="360" w:lineRule="auto"/>
      <w:ind w:firstLine="482" w:firstLineChars="200"/>
    </w:pPr>
    <w:rPr>
      <w:rFonts w:cs="宋体"/>
      <w:b/>
    </w:rPr>
  </w:style>
  <w:style w:type="character" w:customStyle="1" w:styleId="32">
    <w:name w:val="标题 1 Char"/>
    <w:basedOn w:val="21"/>
    <w:link w:val="4"/>
    <w:qFormat/>
    <w:locked/>
    <w:uiPriority w:val="99"/>
    <w:rPr>
      <w:rFonts w:ascii="宋体" w:hAnsi="Calibri" w:cs="宋体"/>
      <w:b/>
      <w:bCs/>
      <w:kern w:val="44"/>
      <w:sz w:val="44"/>
      <w:szCs w:val="44"/>
    </w:rPr>
  </w:style>
  <w:style w:type="character" w:customStyle="1" w:styleId="33">
    <w:name w:val="正文文本缩进 Char"/>
    <w:basedOn w:val="21"/>
    <w:link w:val="3"/>
    <w:semiHidden/>
    <w:qFormat/>
    <w:locked/>
    <w:uiPriority w:val="99"/>
    <w:rPr>
      <w:rFonts w:ascii="宋体" w:hAnsi="Calibri" w:cs="宋体"/>
      <w:kern w:val="0"/>
      <w:sz w:val="34"/>
      <w:szCs w:val="34"/>
    </w:rPr>
  </w:style>
  <w:style w:type="character" w:customStyle="1" w:styleId="34">
    <w:name w:val="正文首行缩进 2 Char"/>
    <w:basedOn w:val="33"/>
    <w:link w:val="2"/>
    <w:semiHidden/>
    <w:qFormat/>
    <w:locked/>
    <w:uiPriority w:val="99"/>
    <w:rPr>
      <w:rFonts w:ascii="宋体" w:hAnsi="Calibri" w:cs="宋体"/>
      <w:kern w:val="0"/>
      <w:sz w:val="34"/>
      <w:szCs w:val="34"/>
    </w:rPr>
  </w:style>
  <w:style w:type="character" w:customStyle="1" w:styleId="35">
    <w:name w:val="纯文本 Char"/>
    <w:basedOn w:val="21"/>
    <w:link w:val="10"/>
    <w:semiHidden/>
    <w:qFormat/>
    <w:locked/>
    <w:uiPriority w:val="99"/>
    <w:rPr>
      <w:rFonts w:ascii="宋体" w:hAnsi="Courier New" w:cs="宋体"/>
      <w:kern w:val="0"/>
      <w:sz w:val="21"/>
      <w:szCs w:val="21"/>
    </w:rPr>
  </w:style>
  <w:style w:type="character" w:customStyle="1" w:styleId="36">
    <w:name w:val="批注框文本 Char"/>
    <w:basedOn w:val="21"/>
    <w:link w:val="12"/>
    <w:qFormat/>
    <w:locked/>
    <w:uiPriority w:val="99"/>
    <w:rPr>
      <w:rFonts w:ascii="宋体" w:cs="宋体"/>
      <w:sz w:val="18"/>
      <w:szCs w:val="18"/>
    </w:rPr>
  </w:style>
  <w:style w:type="character" w:customStyle="1" w:styleId="37">
    <w:name w:val="页脚 Char"/>
    <w:basedOn w:val="21"/>
    <w:link w:val="13"/>
    <w:semiHidden/>
    <w:qFormat/>
    <w:locked/>
    <w:uiPriority w:val="99"/>
    <w:rPr>
      <w:rFonts w:ascii="宋体" w:hAnsi="Calibri" w:cs="宋体"/>
      <w:kern w:val="0"/>
      <w:sz w:val="18"/>
      <w:szCs w:val="18"/>
    </w:rPr>
  </w:style>
  <w:style w:type="character" w:customStyle="1" w:styleId="38">
    <w:name w:val="页眉 Char"/>
    <w:basedOn w:val="21"/>
    <w:link w:val="14"/>
    <w:semiHidden/>
    <w:qFormat/>
    <w:locked/>
    <w:uiPriority w:val="99"/>
    <w:rPr>
      <w:rFonts w:ascii="宋体" w:hAnsi="Calibri" w:cs="宋体"/>
      <w:kern w:val="0"/>
      <w:sz w:val="18"/>
      <w:szCs w:val="18"/>
    </w:rPr>
  </w:style>
  <w:style w:type="paragraph" w:customStyle="1" w:styleId="39">
    <w:name w:val="默认段落字体 Para Char Char Char Char Char Char Char Char Char1 Char Char Char Char"/>
    <w:basedOn w:val="1"/>
    <w:qFormat/>
    <w:uiPriority w:val="99"/>
    <w:pPr>
      <w:autoSpaceDE/>
      <w:autoSpaceDN/>
      <w:adjustRightInd/>
      <w:jc w:val="both"/>
      <w:textAlignment w:val="auto"/>
    </w:pPr>
    <w:rPr>
      <w:rFonts w:ascii="Tahoma" w:hAnsi="Tahoma" w:cs="Tahoma"/>
      <w:kern w:val="2"/>
      <w:sz w:val="24"/>
      <w:szCs w:val="24"/>
    </w:rPr>
  </w:style>
  <w:style w:type="paragraph" w:customStyle="1" w:styleId="40">
    <w:name w:val="p0"/>
    <w:basedOn w:val="1"/>
    <w:qFormat/>
    <w:uiPriority w:val="99"/>
    <w:pPr>
      <w:widowControl/>
      <w:autoSpaceDE/>
      <w:autoSpaceDN/>
      <w:adjustRightInd/>
      <w:jc w:val="both"/>
      <w:textAlignment w:val="auto"/>
    </w:pPr>
    <w:rPr>
      <w:rFonts w:ascii="Calibri" w:cs="Calibri"/>
      <w:sz w:val="21"/>
      <w:szCs w:val="21"/>
    </w:rPr>
  </w:style>
  <w:style w:type="character" w:customStyle="1" w:styleId="41">
    <w:name w:val="15"/>
    <w:qFormat/>
    <w:uiPriority w:val="99"/>
    <w:rPr>
      <w:rFonts w:ascii="Times New Roman" w:hAnsi="Times New Roman" w:cs="Times New Roman"/>
      <w:color w:val="000000"/>
      <w:sz w:val="21"/>
      <w:szCs w:val="21"/>
    </w:rPr>
  </w:style>
  <w:style w:type="character" w:customStyle="1" w:styleId="42">
    <w:name w:val="NormalCharacter"/>
    <w:semiHidden/>
    <w:qFormat/>
    <w:uiPriority w:val="0"/>
  </w:style>
  <w:style w:type="character" w:customStyle="1" w:styleId="43">
    <w:name w:val="font01"/>
    <w:basedOn w:val="21"/>
    <w:qFormat/>
    <w:uiPriority w:val="0"/>
    <w:rPr>
      <w:rFonts w:ascii="Arial" w:hAnsi="Arial" w:cs="Arial"/>
      <w:color w:val="000000"/>
      <w:sz w:val="20"/>
      <w:szCs w:val="20"/>
      <w:u w:val="none"/>
    </w:rPr>
  </w:style>
  <w:style w:type="character" w:customStyle="1" w:styleId="44">
    <w:name w:val="font21"/>
    <w:basedOn w:val="21"/>
    <w:qFormat/>
    <w:uiPriority w:val="0"/>
    <w:rPr>
      <w:rFonts w:hint="eastAsia" w:ascii="宋体" w:hAnsi="宋体" w:eastAsia="宋体" w:cs="宋体"/>
      <w:color w:val="000000"/>
      <w:sz w:val="20"/>
      <w:szCs w:val="20"/>
      <w:u w:val="none"/>
    </w:rPr>
  </w:style>
  <w:style w:type="paragraph" w:customStyle="1" w:styleId="45">
    <w:name w:val="列表段落1"/>
    <w:basedOn w:val="1"/>
    <w:qFormat/>
    <w:uiPriority w:val="0"/>
    <w:pPr>
      <w:autoSpaceDE/>
      <w:autoSpaceDN/>
      <w:adjustRightInd/>
      <w:ind w:firstLine="420" w:firstLineChars="200"/>
      <w:jc w:val="both"/>
      <w:textAlignment w:val="auto"/>
    </w:pPr>
    <w:rPr>
      <w:rFonts w:ascii="Times New Roman"/>
      <w:kern w:val="2"/>
      <w:sz w:val="21"/>
      <w:szCs w:val="21"/>
    </w:rPr>
  </w:style>
  <w:style w:type="paragraph" w:customStyle="1" w:styleId="46">
    <w:name w:val="Body text|1"/>
    <w:basedOn w:val="1"/>
    <w:qFormat/>
    <w:uiPriority w:val="0"/>
    <w:pPr>
      <w:spacing w:line="319" w:lineRule="auto"/>
      <w:ind w:firstLine="400"/>
    </w:pPr>
    <w:rPr>
      <w:rFonts w:hAnsi="宋体"/>
      <w:sz w:val="26"/>
      <w:szCs w:val="26"/>
      <w:lang w:val="zh-TW" w:eastAsia="zh-TW" w:bidi="zh-TW"/>
    </w:rPr>
  </w:style>
  <w:style w:type="paragraph" w:customStyle="1" w:styleId="47">
    <w:name w:val="Table Paragraph"/>
    <w:basedOn w:val="1"/>
    <w:qFormat/>
    <w:uiPriority w:val="1"/>
    <w:pPr>
      <w:adjustRightInd/>
      <w:textAlignment w:val="auto"/>
    </w:pPr>
    <w:rPr>
      <w:rFonts w:hAnsi="宋体"/>
      <w:sz w:val="22"/>
      <w:szCs w:val="22"/>
      <w:lang w:val="zh-CN" w:bidi="zh-CN"/>
    </w:rPr>
  </w:style>
  <w:style w:type="paragraph" w:customStyle="1" w:styleId="48">
    <w:name w:val="xl35"/>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both"/>
      <w:textAlignment w:val="center"/>
    </w:pPr>
    <w:rPr>
      <w:rFonts w:ascii="Arial Unicode MS" w:hAnsi="Arial Unicode MS" w:eastAsia="Arial Unicode MS"/>
      <w:sz w:val="24"/>
      <w:szCs w:val="24"/>
    </w:rPr>
  </w:style>
  <w:style w:type="paragraph" w:customStyle="1" w:styleId="49">
    <w:name w:val="修订1"/>
    <w:hidden/>
    <w:semiHidden/>
    <w:qFormat/>
    <w:uiPriority w:val="99"/>
    <w:rPr>
      <w:rFonts w:ascii="宋体" w:hAnsi="Calibri" w:eastAsia="宋体" w:cs="宋体"/>
      <w:sz w:val="34"/>
      <w:szCs w:val="34"/>
      <w:lang w:val="en-US" w:eastAsia="zh-CN" w:bidi="ar-SA"/>
    </w:rPr>
  </w:style>
  <w:style w:type="paragraph" w:customStyle="1" w:styleId="50">
    <w:name w:val="List Paragraph"/>
    <w:basedOn w:val="1"/>
    <w:qFormat/>
    <w:uiPriority w:val="34"/>
    <w:pPr>
      <w:widowControl/>
      <w:autoSpaceDE/>
      <w:autoSpaceDN/>
      <w:adjustRightInd/>
      <w:ind w:firstLine="420" w:firstLineChars="200"/>
      <w:textAlignment w:val="auto"/>
    </w:pPr>
    <w:rPr>
      <w:rFonts w:hAnsi="宋体"/>
      <w:color w:val="000000"/>
      <w:sz w:val="24"/>
      <w:szCs w:val="24"/>
    </w:rPr>
  </w:style>
  <w:style w:type="paragraph" w:customStyle="1" w:styleId="51">
    <w:name w:val="paragraph"/>
    <w:basedOn w:val="1"/>
    <w:qFormat/>
    <w:uiPriority w:val="0"/>
    <w:pPr>
      <w:widowControl/>
      <w:spacing w:before="100" w:beforeAutospacing="1" w:after="100" w:afterAutospacing="1"/>
    </w:pPr>
    <w:rPr>
      <w:rFonts w:hAnsi="宋体"/>
      <w:sz w:val="24"/>
    </w:rPr>
  </w:style>
  <w:style w:type="character" w:customStyle="1" w:styleId="52">
    <w:name w:val="down"/>
    <w:basedOn w:val="21"/>
    <w:qFormat/>
    <w:uiPriority w:val="0"/>
  </w:style>
  <w:style w:type="paragraph" w:customStyle="1" w:styleId="53">
    <w:name w:val="_Style 51"/>
    <w:basedOn w:val="1"/>
    <w:next w:val="1"/>
    <w:qFormat/>
    <w:uiPriority w:val="0"/>
    <w:pPr>
      <w:pBdr>
        <w:bottom w:val="single" w:color="auto" w:sz="6" w:space="1"/>
      </w:pBdr>
      <w:jc w:val="center"/>
    </w:pPr>
    <w:rPr>
      <w:rFonts w:ascii="Arial"/>
      <w:vanish/>
      <w:sz w:val="16"/>
    </w:rPr>
  </w:style>
  <w:style w:type="paragraph" w:customStyle="1" w:styleId="54">
    <w:name w:val="_Style 52"/>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33</Pages>
  <Words>16212</Words>
  <Characters>17158</Characters>
  <Lines>174</Lines>
  <Paragraphs>49</Paragraphs>
  <TotalTime>2</TotalTime>
  <ScaleCrop>false</ScaleCrop>
  <LinksUpToDate>false</LinksUpToDate>
  <CharactersWithSpaces>17629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2022-09-04T07:36:00Z</dcterms:created>
  <dc:creator>j</dc:creator>
  <cp:lastModifiedBy>七七</cp:lastModifiedBy>
  <cp:lastPrinted>2022-09-06T01:05:00Z</cp:lastPrinted>
  <dcterms:modified xsi:type="dcterms:W3CDTF">2022-09-13T04:18:46Z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368BB4610A64402EBFA609B4E6EBA8B6</vt:lpwstr>
  </property>
</Properties>
</file>